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A1F0">
      <w:pPr>
        <w:widowControl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附件1</w:t>
      </w:r>
    </w:p>
    <w:p w14:paraId="3244223B">
      <w:pPr>
        <w:widowControl/>
        <w:spacing w:before="312" w:beforeLines="100" w:after="312" w:afterLines="100" w:line="500" w:lineRule="exact"/>
        <w:jc w:val="center"/>
        <w:rPr>
          <w:rFonts w:ascii="Times New Roman" w:hAnsi="Times New Roman" w:eastAsia="方正小标宋_GBK" w:cs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金凤实验室简介</w:t>
      </w:r>
    </w:p>
    <w:p w14:paraId="66540E0E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金凤实验室伴随着成渝地区双城经济圈建设应运而生，是西部（重庆）科学城“头号工程”，是我市构建“416”科技创新布局的首家“重庆实验室”。实验室以“重大疾病的下一代诊断”为核心任务，以原始理论创新和“卡脖子”技术基础理论突破为首要目标，布局科研平台，广聚天下英才，构建科研矩阵，开展有组织科研，加快打造开放型、枢纽型、平台型科技创新地，努力开辟未来诊疗产业发展新赛道。实验室占地面积128亩，建筑面积13.5万m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，配套建设30万m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的高端人才住房、1100亩的凤栖湖公园。实验室学术氛围浓厚、科研条件完善、配套服务齐全，既是施展才华、创新创业的舞台，又是勇攀高峰、实现梦想的平台。</w:t>
      </w:r>
    </w:p>
    <w:p w14:paraId="61E502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85268"/>
    <w:rsid w:val="3FC8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2025-05-14T02:04:00Z</dcterms:created>
  <dc:creator>WPS_1697879037</dc:creator>
  <cp:lastModifiedBy>WPS_1697879037</cp:lastModifiedBy>
  <dcterms:modified xsi:type="dcterms:W3CDTF">2025-05-14T02:04:38Z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92D992D1A9CA448C90DCB2D511A10FC0_11</vt:lpwstr>
  </property>
  <property fmtid="{D5CDD505-2E9C-101B-9397-08002B2CF9AE}" pid="4" name="KSOTemplateDocerSaveRecord">
    <vt:lpwstr>eyJoZGlkIjoiNTQyMzJlNmViZTdkNGMxNDMxY2NmNmVmYTcxOTYxOGEiLCJ1c2VySWQiOiIxNTUxNzYyNTE4In0=</vt:lpwstr>
  </property>
</Properties>
</file>