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1A4CF">
      <w:pPr>
        <w:spacing w:line="500" w:lineRule="exact"/>
        <w:rPr>
          <w:rFonts w:hint="eastAsia" w:ascii="仿宋_GB2312"/>
        </w:rPr>
      </w:pPr>
      <w:bookmarkStart w:id="0" w:name="_GoBack"/>
      <w:bookmarkEnd w:id="0"/>
    </w:p>
    <w:tbl>
      <w:tblPr>
        <w:tblStyle w:val="8"/>
        <w:tblW w:w="8778" w:type="dxa"/>
        <w:tblInd w:w="145" w:type="dxa"/>
        <w:tblLayout w:type="fixed"/>
        <w:tblCellMar>
          <w:top w:w="0" w:type="dxa"/>
          <w:left w:w="0" w:type="dxa"/>
          <w:bottom w:w="0" w:type="dxa"/>
          <w:right w:w="0" w:type="dxa"/>
        </w:tblCellMar>
      </w:tblPr>
      <w:tblGrid>
        <w:gridCol w:w="1181"/>
        <w:gridCol w:w="1016"/>
        <w:gridCol w:w="887"/>
        <w:gridCol w:w="1113"/>
        <w:gridCol w:w="1113"/>
        <w:gridCol w:w="2200"/>
        <w:gridCol w:w="1268"/>
      </w:tblGrid>
      <w:tr w14:paraId="4998A490">
        <w:tblPrEx>
          <w:tblCellMar>
            <w:top w:w="0" w:type="dxa"/>
            <w:left w:w="0" w:type="dxa"/>
            <w:bottom w:w="0" w:type="dxa"/>
            <w:right w:w="0" w:type="dxa"/>
          </w:tblCellMar>
        </w:tblPrEx>
        <w:trPr>
          <w:trHeight w:val="2681" w:hRule="atLeast"/>
        </w:trPr>
        <w:tc>
          <w:tcPr>
            <w:tcW w:w="8778" w:type="dxa"/>
            <w:gridSpan w:val="7"/>
            <w:tcBorders>
              <w:top w:val="nil"/>
              <w:left w:val="nil"/>
              <w:bottom w:val="nil"/>
              <w:right w:val="nil"/>
            </w:tcBorders>
            <w:tcMar>
              <w:top w:w="12" w:type="dxa"/>
              <w:left w:w="12" w:type="dxa"/>
              <w:bottom w:w="0" w:type="dxa"/>
              <w:right w:w="12" w:type="dxa"/>
            </w:tcMar>
            <w:vAlign w:val="center"/>
          </w:tcPr>
          <w:p w14:paraId="3AF9AFC9">
            <w:pPr>
              <w:widowControl/>
              <w:autoSpaceDE w:val="0"/>
              <w:spacing w:line="620" w:lineRule="exact"/>
              <w:ind w:right="781" w:rightChars="244"/>
              <w:rPr>
                <w:rFonts w:hint="eastAsia" w:ascii="方正黑体_GBK" w:hAnsi="方正黑体_GBK" w:eastAsia="方正黑体_GBK"/>
                <w:kern w:val="0"/>
                <w:sz w:val="36"/>
                <w:szCs w:val="36"/>
              </w:rPr>
            </w:pPr>
            <w:r>
              <w:rPr>
                <w:rFonts w:hint="eastAsia" w:ascii="方正黑体_GBK" w:hAnsi="方正黑体_GBK" w:eastAsia="方正黑体_GBK"/>
                <w:kern w:val="0"/>
              </w:rPr>
              <w:t>附件1</w:t>
            </w:r>
          </w:p>
          <w:p w14:paraId="46AF6BB9">
            <w:pPr>
              <w:widowControl/>
              <w:autoSpaceDE w:val="0"/>
              <w:spacing w:line="620" w:lineRule="exact"/>
              <w:ind w:right="781" w:rightChars="244"/>
              <w:jc w:val="center"/>
              <w:rPr>
                <w:rFonts w:ascii="Times New Roman" w:hAnsi="Times New Roman" w:eastAsia="方正小标宋简体"/>
                <w:kern w:val="0"/>
                <w:sz w:val="36"/>
                <w:szCs w:val="36"/>
              </w:rPr>
            </w:pPr>
            <w:r>
              <w:rPr>
                <w:rFonts w:hint="eastAsia" w:ascii="方正小标宋简体" w:hAnsi="方正小标宋简体" w:eastAsia="方正小标宋简体"/>
                <w:kern w:val="0"/>
                <w:sz w:val="36"/>
                <w:szCs w:val="36"/>
              </w:rPr>
              <w:t>凤庆县检验检测所</w:t>
            </w:r>
            <w:r>
              <w:rPr>
                <w:rFonts w:ascii="Times New Roman" w:hAnsi="Times New Roman" w:eastAsia="方正小标宋简体" w:cs="Times New Roman"/>
                <w:kern w:val="0"/>
                <w:sz w:val="36"/>
                <w:szCs w:val="36"/>
              </w:rPr>
              <w:t>2025</w:t>
            </w:r>
            <w:r>
              <w:rPr>
                <w:rFonts w:hint="eastAsia" w:ascii="方正小标宋简体" w:hAnsi="方正小标宋简体" w:eastAsia="方正小标宋简体"/>
                <w:kern w:val="0"/>
                <w:sz w:val="36"/>
                <w:szCs w:val="36"/>
              </w:rPr>
              <w:t>年度急需紧缺专业</w:t>
            </w:r>
          </w:p>
          <w:p w14:paraId="62DA1BE2">
            <w:pPr>
              <w:widowControl/>
              <w:autoSpaceDE w:val="0"/>
              <w:spacing w:line="620" w:lineRule="exact"/>
              <w:ind w:right="781" w:rightChars="244"/>
              <w:jc w:val="center"/>
              <w:rPr>
                <w:rFonts w:ascii="Times New Roman" w:hAnsi="Times New Roman" w:eastAsia="黑体"/>
                <w:kern w:val="0"/>
                <w:sz w:val="36"/>
                <w:szCs w:val="36"/>
              </w:rPr>
            </w:pPr>
            <w:r>
              <w:rPr>
                <w:rFonts w:hint="eastAsia" w:ascii="方正小标宋简体" w:hAnsi="方正小标宋简体" w:eastAsia="方正小标宋简体"/>
                <w:kern w:val="0"/>
                <w:sz w:val="36"/>
                <w:szCs w:val="36"/>
              </w:rPr>
              <w:t>人才引进信息表</w:t>
            </w:r>
          </w:p>
        </w:tc>
      </w:tr>
      <w:tr w14:paraId="100F6B1A">
        <w:tblPrEx>
          <w:tblCellMar>
            <w:top w:w="0" w:type="dxa"/>
            <w:left w:w="0" w:type="dxa"/>
            <w:bottom w:w="0" w:type="dxa"/>
            <w:right w:w="0" w:type="dxa"/>
          </w:tblCellMar>
        </w:tblPrEx>
        <w:trPr>
          <w:trHeight w:val="1896" w:hRule="atLeast"/>
        </w:trPr>
        <w:tc>
          <w:tcPr>
            <w:tcW w:w="1181" w:type="dxa"/>
            <w:tcBorders>
              <w:top w:val="single" w:color="000000" w:sz="4" w:space="0"/>
              <w:left w:val="single" w:color="000000" w:sz="4" w:space="0"/>
              <w:bottom w:val="single" w:color="auto" w:sz="4" w:space="0"/>
              <w:right w:val="single" w:color="000000" w:sz="4" w:space="0"/>
            </w:tcBorders>
            <w:tcMar>
              <w:top w:w="12" w:type="dxa"/>
              <w:left w:w="12" w:type="dxa"/>
              <w:bottom w:w="0" w:type="dxa"/>
              <w:right w:w="12" w:type="dxa"/>
            </w:tcMar>
            <w:vAlign w:val="center"/>
          </w:tcPr>
          <w:p w14:paraId="443440C5">
            <w:pPr>
              <w:widowControl/>
              <w:autoSpaceDE w:val="0"/>
              <w:spacing w:line="620" w:lineRule="exact"/>
              <w:jc w:val="center"/>
              <w:rPr>
                <w:rFonts w:ascii="Times New Roman" w:hAnsi="Times New Roman" w:eastAsia="宋体"/>
                <w:b/>
                <w:sz w:val="22"/>
                <w:szCs w:val="22"/>
              </w:rPr>
            </w:pPr>
            <w:r>
              <w:rPr>
                <w:rFonts w:hint="eastAsia" w:eastAsia="宋体"/>
                <w:b/>
                <w:sz w:val="22"/>
                <w:szCs w:val="22"/>
              </w:rPr>
              <w:t>招聘单位</w:t>
            </w:r>
          </w:p>
        </w:tc>
        <w:tc>
          <w:tcPr>
            <w:tcW w:w="1016" w:type="dxa"/>
            <w:tcBorders>
              <w:top w:val="single" w:color="000000" w:sz="4" w:space="0"/>
              <w:left w:val="nil"/>
              <w:bottom w:val="single" w:color="auto" w:sz="4" w:space="0"/>
              <w:right w:val="single" w:color="000000" w:sz="4" w:space="0"/>
            </w:tcBorders>
            <w:tcMar>
              <w:top w:w="12" w:type="dxa"/>
              <w:left w:w="12" w:type="dxa"/>
              <w:bottom w:w="0" w:type="dxa"/>
              <w:right w:w="12" w:type="dxa"/>
            </w:tcMar>
            <w:vAlign w:val="center"/>
          </w:tcPr>
          <w:p w14:paraId="77F4E8DA">
            <w:pPr>
              <w:widowControl/>
              <w:autoSpaceDE w:val="0"/>
              <w:spacing w:line="620" w:lineRule="exact"/>
              <w:jc w:val="center"/>
              <w:rPr>
                <w:rFonts w:ascii="Times New Roman" w:hAnsi="Times New Roman" w:eastAsia="宋体"/>
                <w:b/>
                <w:sz w:val="22"/>
                <w:szCs w:val="22"/>
              </w:rPr>
            </w:pPr>
            <w:r>
              <w:rPr>
                <w:rFonts w:hint="eastAsia" w:eastAsia="宋体"/>
                <w:b/>
                <w:sz w:val="22"/>
                <w:szCs w:val="22"/>
              </w:rPr>
              <w:t>岗位名称</w:t>
            </w:r>
          </w:p>
        </w:tc>
        <w:tc>
          <w:tcPr>
            <w:tcW w:w="887" w:type="dxa"/>
            <w:tcBorders>
              <w:top w:val="single" w:color="000000" w:sz="4" w:space="0"/>
              <w:left w:val="nil"/>
              <w:bottom w:val="single" w:color="auto" w:sz="4" w:space="0"/>
              <w:right w:val="single" w:color="000000" w:sz="4" w:space="0"/>
            </w:tcBorders>
            <w:tcMar>
              <w:top w:w="12" w:type="dxa"/>
              <w:left w:w="12" w:type="dxa"/>
              <w:bottom w:w="0" w:type="dxa"/>
              <w:right w:w="12" w:type="dxa"/>
            </w:tcMar>
            <w:vAlign w:val="center"/>
          </w:tcPr>
          <w:p w14:paraId="6E4E45F8">
            <w:pPr>
              <w:widowControl/>
              <w:autoSpaceDE w:val="0"/>
              <w:spacing w:line="620" w:lineRule="exact"/>
              <w:jc w:val="center"/>
              <w:rPr>
                <w:rFonts w:ascii="Times New Roman" w:hAnsi="Times New Roman" w:eastAsia="宋体"/>
                <w:b/>
                <w:sz w:val="22"/>
                <w:szCs w:val="22"/>
              </w:rPr>
            </w:pPr>
            <w:r>
              <w:rPr>
                <w:rFonts w:hint="eastAsia" w:eastAsia="宋体"/>
                <w:b/>
                <w:sz w:val="22"/>
                <w:szCs w:val="22"/>
              </w:rPr>
              <w:t>引进计划人数</w:t>
            </w:r>
          </w:p>
        </w:tc>
        <w:tc>
          <w:tcPr>
            <w:tcW w:w="1113" w:type="dxa"/>
            <w:tcBorders>
              <w:top w:val="single" w:color="000000" w:sz="4" w:space="0"/>
              <w:left w:val="nil"/>
              <w:bottom w:val="single" w:color="auto" w:sz="4" w:space="0"/>
              <w:right w:val="single" w:color="000000" w:sz="4" w:space="0"/>
            </w:tcBorders>
            <w:tcMar>
              <w:top w:w="12" w:type="dxa"/>
              <w:left w:w="12" w:type="dxa"/>
              <w:bottom w:w="0" w:type="dxa"/>
              <w:right w:w="12" w:type="dxa"/>
            </w:tcMar>
            <w:vAlign w:val="center"/>
          </w:tcPr>
          <w:p w14:paraId="18049BAA">
            <w:pPr>
              <w:widowControl/>
              <w:autoSpaceDE w:val="0"/>
              <w:spacing w:line="620" w:lineRule="exact"/>
              <w:jc w:val="center"/>
              <w:rPr>
                <w:rFonts w:ascii="Times New Roman" w:hAnsi="Times New Roman" w:eastAsia="宋体"/>
                <w:b/>
                <w:sz w:val="22"/>
                <w:szCs w:val="22"/>
              </w:rPr>
            </w:pPr>
            <w:r>
              <w:rPr>
                <w:rFonts w:hint="eastAsia" w:eastAsia="宋体"/>
                <w:b/>
                <w:sz w:val="22"/>
                <w:szCs w:val="22"/>
              </w:rPr>
              <w:t>学历</w:t>
            </w:r>
          </w:p>
        </w:tc>
        <w:tc>
          <w:tcPr>
            <w:tcW w:w="1113" w:type="dxa"/>
            <w:tcBorders>
              <w:top w:val="single" w:color="000000" w:sz="4" w:space="0"/>
              <w:left w:val="nil"/>
              <w:bottom w:val="single" w:color="auto" w:sz="4" w:space="0"/>
              <w:right w:val="single" w:color="000000" w:sz="4" w:space="0"/>
            </w:tcBorders>
            <w:tcMar>
              <w:top w:w="12" w:type="dxa"/>
              <w:left w:w="12" w:type="dxa"/>
              <w:bottom w:w="0" w:type="dxa"/>
              <w:right w:w="12" w:type="dxa"/>
            </w:tcMar>
            <w:vAlign w:val="center"/>
          </w:tcPr>
          <w:p w14:paraId="307FB535">
            <w:pPr>
              <w:widowControl/>
              <w:autoSpaceDE w:val="0"/>
              <w:spacing w:line="620" w:lineRule="exact"/>
              <w:jc w:val="center"/>
              <w:rPr>
                <w:rFonts w:ascii="Times New Roman" w:hAnsi="Times New Roman" w:eastAsia="宋体"/>
                <w:b/>
                <w:sz w:val="22"/>
                <w:szCs w:val="22"/>
              </w:rPr>
            </w:pPr>
            <w:r>
              <w:rPr>
                <w:rFonts w:hint="eastAsia" w:eastAsia="宋体"/>
                <w:b/>
                <w:sz w:val="22"/>
                <w:szCs w:val="22"/>
              </w:rPr>
              <w:t>专业</w:t>
            </w:r>
          </w:p>
        </w:tc>
        <w:tc>
          <w:tcPr>
            <w:tcW w:w="2200" w:type="dxa"/>
            <w:tcBorders>
              <w:top w:val="single" w:color="000000" w:sz="4" w:space="0"/>
              <w:left w:val="nil"/>
              <w:bottom w:val="single" w:color="auto" w:sz="4" w:space="0"/>
              <w:right w:val="single" w:color="000000" w:sz="4" w:space="0"/>
            </w:tcBorders>
            <w:tcMar>
              <w:top w:w="12" w:type="dxa"/>
              <w:left w:w="12" w:type="dxa"/>
              <w:bottom w:w="0" w:type="dxa"/>
              <w:right w:w="12" w:type="dxa"/>
            </w:tcMar>
            <w:vAlign w:val="center"/>
          </w:tcPr>
          <w:p w14:paraId="6239D0E2">
            <w:pPr>
              <w:widowControl/>
              <w:autoSpaceDE w:val="0"/>
              <w:spacing w:line="620" w:lineRule="exact"/>
              <w:jc w:val="center"/>
              <w:rPr>
                <w:rFonts w:ascii="Times New Roman" w:hAnsi="Times New Roman" w:eastAsia="宋体"/>
                <w:b/>
                <w:sz w:val="22"/>
                <w:szCs w:val="22"/>
              </w:rPr>
            </w:pPr>
            <w:r>
              <w:rPr>
                <w:rFonts w:hint="eastAsia" w:eastAsia="宋体"/>
                <w:b/>
                <w:sz w:val="22"/>
                <w:szCs w:val="22"/>
              </w:rPr>
              <w:t>毕业年限</w:t>
            </w:r>
          </w:p>
        </w:tc>
        <w:tc>
          <w:tcPr>
            <w:tcW w:w="1268" w:type="dxa"/>
            <w:tcBorders>
              <w:top w:val="single" w:color="000000" w:sz="4" w:space="0"/>
              <w:left w:val="nil"/>
              <w:bottom w:val="single" w:color="auto" w:sz="4" w:space="0"/>
              <w:right w:val="single" w:color="000000" w:sz="4" w:space="0"/>
            </w:tcBorders>
            <w:tcMar>
              <w:top w:w="12" w:type="dxa"/>
              <w:left w:w="12" w:type="dxa"/>
              <w:bottom w:w="0" w:type="dxa"/>
              <w:right w:w="12" w:type="dxa"/>
            </w:tcMar>
            <w:vAlign w:val="center"/>
          </w:tcPr>
          <w:p w14:paraId="59694E8D">
            <w:pPr>
              <w:widowControl/>
              <w:autoSpaceDE w:val="0"/>
              <w:spacing w:line="620" w:lineRule="exact"/>
              <w:jc w:val="center"/>
              <w:rPr>
                <w:rFonts w:ascii="Times New Roman" w:hAnsi="Times New Roman" w:eastAsia="宋体"/>
                <w:b/>
                <w:sz w:val="22"/>
                <w:szCs w:val="22"/>
              </w:rPr>
            </w:pPr>
            <w:r>
              <w:rPr>
                <w:rFonts w:hint="eastAsia" w:eastAsia="宋体"/>
                <w:b/>
                <w:sz w:val="22"/>
                <w:szCs w:val="22"/>
              </w:rPr>
              <w:t>其他条件</w:t>
            </w:r>
          </w:p>
        </w:tc>
      </w:tr>
      <w:tr w14:paraId="3882865D">
        <w:tblPrEx>
          <w:tblCellMar>
            <w:top w:w="0" w:type="dxa"/>
            <w:left w:w="0" w:type="dxa"/>
            <w:bottom w:w="0" w:type="dxa"/>
            <w:right w:w="0" w:type="dxa"/>
          </w:tblCellMar>
        </w:tblPrEx>
        <w:trPr>
          <w:trHeight w:val="2490" w:hRule="atLeast"/>
        </w:trPr>
        <w:tc>
          <w:tcPr>
            <w:tcW w:w="118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14:paraId="0C74D670">
            <w:pPr>
              <w:widowControl/>
              <w:autoSpaceDE w:val="0"/>
              <w:spacing w:line="620" w:lineRule="exact"/>
              <w:jc w:val="center"/>
              <w:rPr>
                <w:rFonts w:eastAsia="宋体"/>
                <w:bCs/>
                <w:sz w:val="28"/>
                <w:szCs w:val="28"/>
              </w:rPr>
            </w:pPr>
            <w:r>
              <w:rPr>
                <w:rFonts w:hint="eastAsia" w:eastAsia="宋体"/>
                <w:bCs/>
                <w:sz w:val="28"/>
                <w:szCs w:val="28"/>
              </w:rPr>
              <w:t>凤庆县检验检测所</w:t>
            </w:r>
          </w:p>
        </w:tc>
        <w:tc>
          <w:tcPr>
            <w:tcW w:w="1016"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14:paraId="4BA4ABBE">
            <w:pPr>
              <w:widowControl/>
              <w:autoSpaceDE w:val="0"/>
              <w:spacing w:line="620" w:lineRule="exact"/>
              <w:rPr>
                <w:rFonts w:eastAsia="宋体"/>
                <w:bCs/>
                <w:sz w:val="28"/>
                <w:szCs w:val="28"/>
              </w:rPr>
            </w:pPr>
            <w:r>
              <w:rPr>
                <w:rFonts w:hint="eastAsia" w:eastAsia="宋体"/>
                <w:bCs/>
                <w:sz w:val="28"/>
                <w:szCs w:val="28"/>
              </w:rPr>
              <w:t>检验检测岗位</w:t>
            </w:r>
          </w:p>
        </w:tc>
        <w:tc>
          <w:tcPr>
            <w:tcW w:w="887"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14:paraId="24297C76">
            <w:pPr>
              <w:widowControl/>
              <w:autoSpaceDE w:val="0"/>
              <w:spacing w:line="620" w:lineRule="exact"/>
              <w:jc w:val="center"/>
              <w:rPr>
                <w:rFonts w:eastAsia="宋体"/>
                <w:bCs/>
                <w:sz w:val="28"/>
                <w:szCs w:val="28"/>
              </w:rPr>
            </w:pPr>
            <w:r>
              <w:rPr>
                <w:rFonts w:hint="eastAsia" w:eastAsia="宋体"/>
                <w:bCs/>
                <w:sz w:val="28"/>
                <w:szCs w:val="28"/>
              </w:rPr>
              <w:t>1</w:t>
            </w:r>
          </w:p>
        </w:tc>
        <w:tc>
          <w:tcPr>
            <w:tcW w:w="1113"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14:paraId="601EC4B4">
            <w:pPr>
              <w:widowControl/>
              <w:autoSpaceDE w:val="0"/>
              <w:spacing w:line="620" w:lineRule="exact"/>
              <w:rPr>
                <w:rFonts w:eastAsia="宋体"/>
                <w:bCs/>
                <w:sz w:val="28"/>
                <w:szCs w:val="28"/>
              </w:rPr>
            </w:pPr>
            <w:r>
              <w:rPr>
                <w:rFonts w:hint="eastAsia" w:eastAsia="宋体"/>
                <w:bCs/>
                <w:sz w:val="28"/>
                <w:szCs w:val="28"/>
              </w:rPr>
              <w:t>本科并取得学士学位及以上学历</w:t>
            </w:r>
          </w:p>
        </w:tc>
        <w:tc>
          <w:tcPr>
            <w:tcW w:w="1113"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14:paraId="3265ED50">
            <w:pPr>
              <w:widowControl/>
              <w:autoSpaceDE w:val="0"/>
              <w:spacing w:line="620" w:lineRule="exact"/>
              <w:rPr>
                <w:rFonts w:eastAsia="宋体"/>
                <w:bCs/>
                <w:sz w:val="28"/>
                <w:szCs w:val="28"/>
              </w:rPr>
            </w:pPr>
            <w:r>
              <w:rPr>
                <w:rFonts w:hint="eastAsia" w:eastAsia="宋体"/>
                <w:bCs/>
                <w:sz w:val="28"/>
                <w:szCs w:val="28"/>
              </w:rPr>
              <w:t>食品科学与工程类、化学类、生物工程、化工与制药类专业</w:t>
            </w:r>
          </w:p>
        </w:tc>
        <w:tc>
          <w:tcPr>
            <w:tcW w:w="2200"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14:paraId="1D4C6DC8">
            <w:pPr>
              <w:widowControl/>
              <w:autoSpaceDE w:val="0"/>
              <w:spacing w:line="620" w:lineRule="exact"/>
              <w:rPr>
                <w:rFonts w:eastAsia="宋体"/>
                <w:bCs/>
                <w:sz w:val="28"/>
                <w:szCs w:val="28"/>
              </w:rPr>
            </w:pPr>
            <w:r>
              <w:rPr>
                <w:rFonts w:hint="eastAsia" w:eastAsia="宋体"/>
                <w:bCs/>
                <w:sz w:val="28"/>
                <w:szCs w:val="28"/>
              </w:rPr>
              <w:t>2025年毕业的全日制普通高校本科并取得学士学位及以上学历的未就业毕业生（含2023年至2024年毕业的全日制普通高校本科并取得学士学位及以上学历的未就业毕业生）</w:t>
            </w:r>
          </w:p>
        </w:tc>
        <w:tc>
          <w:tcPr>
            <w:tcW w:w="1268"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14:paraId="3347CFE5">
            <w:pPr>
              <w:widowControl/>
              <w:autoSpaceDE w:val="0"/>
              <w:spacing w:line="620" w:lineRule="exact"/>
              <w:jc w:val="left"/>
              <w:rPr>
                <w:rFonts w:eastAsia="宋体"/>
                <w:sz w:val="28"/>
                <w:szCs w:val="28"/>
              </w:rPr>
            </w:pPr>
          </w:p>
        </w:tc>
      </w:tr>
    </w:tbl>
    <w:p w14:paraId="0F6C9694">
      <w:pPr>
        <w:widowControl/>
        <w:autoSpaceDE w:val="0"/>
        <w:spacing w:line="620" w:lineRule="exact"/>
        <w:jc w:val="center"/>
        <w:rPr>
          <w:rFonts w:eastAsia="宋体"/>
          <w:bCs/>
          <w:sz w:val="28"/>
          <w:szCs w:val="28"/>
        </w:rPr>
      </w:pPr>
      <w:r>
        <w:rPr>
          <w:rFonts w:hint="eastAsia" w:eastAsia="宋体"/>
          <w:bCs/>
          <w:sz w:val="28"/>
          <w:szCs w:val="28"/>
        </w:rPr>
        <w:t xml:space="preserve"> </w:t>
      </w:r>
    </w:p>
    <w:p w14:paraId="1F572BFA">
      <w:pPr>
        <w:pStyle w:val="2"/>
        <w:rPr>
          <w:rFonts w:ascii="宋体" w:hAnsi="宋体"/>
          <w:bCs/>
        </w:rPr>
      </w:pPr>
      <w:r>
        <w:rPr>
          <w:rFonts w:hint="eastAsia" w:ascii="宋体" w:hAnsi="宋体"/>
          <w:bCs/>
        </w:rPr>
        <w:t xml:space="preserve"> </w:t>
      </w:r>
    </w:p>
    <w:p w14:paraId="7B459118">
      <w:pPr>
        <w:pStyle w:val="2"/>
        <w:rPr>
          <w:rFonts w:ascii="宋体" w:hAnsi="宋体"/>
          <w:bCs/>
        </w:rPr>
      </w:pPr>
      <w:r>
        <w:rPr>
          <w:rFonts w:hint="eastAsia" w:ascii="宋体" w:hAnsi="宋体"/>
          <w:bCs/>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82016" w:usb3="00000000" w:csb0="00040001" w:csb1="00000000"/>
  </w:font>
  <w:font w:name="方正黑体_GBK">
    <w:altName w:val="微软雅黑"/>
    <w:panose1 w:val="03000509000000000000"/>
    <w:charset w:val="86"/>
    <w:family w:val="script"/>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0A748">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42EC1">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CE42EC1">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2E"/>
    <w:rsid w:val="0000392D"/>
    <w:rsid w:val="0002730F"/>
    <w:rsid w:val="00045FE1"/>
    <w:rsid w:val="00304444"/>
    <w:rsid w:val="003C6B06"/>
    <w:rsid w:val="0044740A"/>
    <w:rsid w:val="004C0D2E"/>
    <w:rsid w:val="00547D16"/>
    <w:rsid w:val="00555F86"/>
    <w:rsid w:val="005A40AD"/>
    <w:rsid w:val="00603C4C"/>
    <w:rsid w:val="00630C85"/>
    <w:rsid w:val="006E74C6"/>
    <w:rsid w:val="007B2709"/>
    <w:rsid w:val="007B6E1B"/>
    <w:rsid w:val="007C11FD"/>
    <w:rsid w:val="007D67DD"/>
    <w:rsid w:val="007F0FAE"/>
    <w:rsid w:val="00887823"/>
    <w:rsid w:val="008C01FD"/>
    <w:rsid w:val="009007DC"/>
    <w:rsid w:val="009401F3"/>
    <w:rsid w:val="0098755F"/>
    <w:rsid w:val="00A419BF"/>
    <w:rsid w:val="00B64D40"/>
    <w:rsid w:val="00BC2CAD"/>
    <w:rsid w:val="00C841F4"/>
    <w:rsid w:val="00D13B79"/>
    <w:rsid w:val="00D310CF"/>
    <w:rsid w:val="00D3752B"/>
    <w:rsid w:val="00D56796"/>
    <w:rsid w:val="00D93D5F"/>
    <w:rsid w:val="00E2516B"/>
    <w:rsid w:val="00E64089"/>
    <w:rsid w:val="00E83331"/>
    <w:rsid w:val="00EB6B85"/>
    <w:rsid w:val="00EF105F"/>
    <w:rsid w:val="00F40FCD"/>
    <w:rsid w:val="00FB1BA4"/>
    <w:rsid w:val="0B432D9E"/>
    <w:rsid w:val="0F1D3E6D"/>
    <w:rsid w:val="145002AE"/>
    <w:rsid w:val="1F931869"/>
    <w:rsid w:val="237A0EA4"/>
    <w:rsid w:val="28335AC5"/>
    <w:rsid w:val="2AE65071"/>
    <w:rsid w:val="31E63BA8"/>
    <w:rsid w:val="339C5051"/>
    <w:rsid w:val="3D9170BE"/>
    <w:rsid w:val="4A1A3C81"/>
    <w:rsid w:val="5B2829B8"/>
    <w:rsid w:val="5BE508A9"/>
    <w:rsid w:val="649C7F73"/>
    <w:rsid w:val="65504188"/>
    <w:rsid w:val="74847CDB"/>
    <w:rsid w:val="7C2E3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宋体"/>
      <w:kern w:val="2"/>
      <w:sz w:val="32"/>
      <w:szCs w:val="3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BodyText"/>
    <w:basedOn w:val="1"/>
    <w:qFormat/>
    <w:uiPriority w:val="0"/>
    <w:pPr>
      <w:snapToGrid w:val="0"/>
      <w:spacing w:before="100" w:beforeAutospacing="1" w:after="120"/>
      <w:textAlignment w:val="baseline"/>
    </w:pPr>
    <w:rPr>
      <w:rFonts w:ascii="Times New Roman" w:hAnsi="Times New Roman" w:eastAsia="宋体"/>
      <w:sz w:val="28"/>
      <w:szCs w:val="28"/>
    </w:rPr>
  </w:style>
  <w:style w:type="paragraph" w:styleId="3">
    <w:name w:val="Body Text"/>
    <w:basedOn w:val="1"/>
    <w:next w:val="4"/>
    <w:link w:val="10"/>
    <w:unhideWhenUsed/>
    <w:qFormat/>
    <w:uiPriority w:val="99"/>
    <w:pPr>
      <w:ind w:left="115"/>
    </w:pPr>
    <w:rPr>
      <w:rFonts w:ascii="方正仿宋_GBK" w:hAnsi="方正仿宋_GBK" w:eastAsia="方正仿宋_GBK" w:cs="Times New Roman"/>
    </w:rPr>
  </w:style>
  <w:style w:type="paragraph" w:styleId="4">
    <w:name w:val="toc 5"/>
    <w:basedOn w:val="1"/>
    <w:next w:val="1"/>
    <w:autoRedefine/>
    <w:semiHidden/>
    <w:unhideWhenUsed/>
    <w:qFormat/>
    <w:uiPriority w:val="39"/>
    <w:pPr>
      <w:ind w:left="1680" w:leftChars="800"/>
    </w:p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正文文本 Char"/>
    <w:basedOn w:val="9"/>
    <w:link w:val="3"/>
    <w:qFormat/>
    <w:uiPriority w:val="99"/>
    <w:rPr>
      <w:rFonts w:ascii="方正仿宋_GBK" w:hAnsi="方正仿宋_GBK" w:eastAsia="方正仿宋_GBK" w:cs="Times New Roman"/>
      <w:sz w:val="32"/>
      <w:szCs w:val="32"/>
    </w:rPr>
  </w:style>
  <w:style w:type="character" w:customStyle="1" w:styleId="11">
    <w:name w:val="页眉 Char"/>
    <w:basedOn w:val="9"/>
    <w:link w:val="7"/>
    <w:qFormat/>
    <w:uiPriority w:val="99"/>
    <w:rPr>
      <w:rFonts w:ascii="宋体" w:hAnsi="宋体" w:eastAsia="仿宋_GB2312" w:cs="宋体"/>
      <w:sz w:val="18"/>
      <w:szCs w:val="18"/>
    </w:rPr>
  </w:style>
  <w:style w:type="character" w:customStyle="1" w:styleId="12">
    <w:name w:val="页脚 Char"/>
    <w:basedOn w:val="9"/>
    <w:link w:val="6"/>
    <w:qFormat/>
    <w:uiPriority w:val="99"/>
    <w:rPr>
      <w:rFonts w:ascii="宋体" w:hAnsi="宋体" w:eastAsia="仿宋_GB2312" w:cs="宋体"/>
      <w:sz w:val="18"/>
      <w:szCs w:val="18"/>
    </w:rPr>
  </w:style>
  <w:style w:type="character" w:customStyle="1" w:styleId="13">
    <w:name w:val="批注框文本 Char"/>
    <w:basedOn w:val="9"/>
    <w:link w:val="5"/>
    <w:semiHidden/>
    <w:uiPriority w:val="99"/>
    <w:rPr>
      <w:rFonts w:ascii="宋体" w:hAnsi="宋体" w:eastAsia="仿宋_GB2312"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180</Words>
  <Characters>192</Characters>
  <Lines>1</Lines>
  <Paragraphs>1</Paragraphs>
  <TotalTime>1</TotalTime>
  <ScaleCrop>false</ScaleCrop>
  <LinksUpToDate>false</LinksUpToDate>
  <CharactersWithSpaces>195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2025-05-06T07:45:00Z</dcterms:created>
  <dc:creator>MHDN</dc:creator>
  <cp:lastModifiedBy>旧</cp:lastModifiedBy>
  <cp:lastPrinted>2025-03-19T06:56:00Z</cp:lastPrinted>
  <dcterms:modified xsi:type="dcterms:W3CDTF">2025-05-07T02:46:55Z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eyJoZGlkIjoiMGNlNTY4NTQ2Njc0MWNmNzg3NjcxZjMyODA2Yjg3M2QiLCJ1c2VySWQiOiI1NDc4NDUyNjQifQ==</vt:lpwstr>
  </property>
  <property fmtid="{D5CDD505-2E9C-101B-9397-08002B2CF9AE}" pid="3" name="KSOProductBuildVer">
    <vt:lpwstr>2052-12.1.0.20784</vt:lpwstr>
  </property>
  <property fmtid="{D5CDD505-2E9C-101B-9397-08002B2CF9AE}" pid="4" name="ICV">
    <vt:lpwstr>16020FB57304425392078787771F2BD2_13</vt:lpwstr>
  </property>
</Properties>
</file>