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2278D">
      <w:pPr>
        <w:widowControl/>
        <w:shd w:val="clear" w:color="auto"/>
        <w:spacing w:line="690" w:lineRule="atLeast"/>
        <w:jc w:val="center"/>
        <w:outlineLvl w:val="1"/>
        <w:rPr>
          <w:rFonts w:hint="eastAsia" w:ascii="微软雅黑" w:hAnsi="微软雅黑" w:eastAsia="微软雅黑" w:cs="宋体"/>
          <w:b/>
          <w:bCs/>
          <w:color w:val="333333"/>
          <w:kern w:val="0"/>
          <w:sz w:val="48"/>
          <w:szCs w:val="48"/>
        </w:rPr>
      </w:pPr>
      <w:r>
        <w:rPr>
          <w:rFonts w:hint="eastAsia" w:ascii="微软雅黑" w:hAnsi="微软雅黑" w:eastAsia="微软雅黑" w:cs="宋体"/>
          <w:b/>
          <w:bCs/>
          <w:color w:val="333333"/>
          <w:kern w:val="0"/>
          <w:sz w:val="48"/>
          <w:szCs w:val="48"/>
        </w:rPr>
        <w:t>福建省机关事业单位招考专业指导目录（2025年）</w:t>
      </w:r>
    </w:p>
    <w:p w14:paraId="3EBE92F9">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01FF4126">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08F1C756">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2547DCF6">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本目录由招录（聘）主管部门负责解释。</w:t>
      </w:r>
    </w:p>
    <w:p w14:paraId="0D6D4A0B">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198989CD">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一、哲学、文学、历史学大类</w:t>
      </w:r>
    </w:p>
    <w:p w14:paraId="0A8A91ED">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1.哲学类：哲学，逻辑学，宗教学，伦理学，马克思主义哲学，中国哲学，外国哲学，美学，科学技术哲学，科学技术史</w:t>
      </w:r>
    </w:p>
    <w:p w14:paraId="58EE10C3">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0F07D109">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w:t>
      </w:r>
      <w:bookmarkStart w:id="0" w:name="_GoBack"/>
      <w:bookmarkEnd w:id="0"/>
      <w:r>
        <w:rPr>
          <w:rFonts w:hint="eastAsia" w:ascii="微软雅黑" w:hAnsi="微软雅黑" w:eastAsia="微软雅黑" w:cs="宋体"/>
          <w:color w:val="333333"/>
          <w:kern w:val="0"/>
          <w:sz w:val="24"/>
          <w:szCs w:val="24"/>
        </w:rPr>
        <w:t>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17760590">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1C2C9CFA">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3.少数民族语言文学类：中国少数民族语言文学（藏语言文学、蒙古语言文学、维吾尔语言文学、朝鲜语言文学、哈萨克语言文学等），中国少数民族语言文化</w:t>
      </w:r>
    </w:p>
    <w:p w14:paraId="1F8D40C5">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216C68BB">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2524F9A4">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6B76A840">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14:paraId="1C970EA5">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1CF4D32E">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14:paraId="0D3CA790">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3DDA6632">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14:paraId="1F7AB04D">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45F3E7C0">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349F9877">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7D94414B">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二、经济学、管理学大类</w:t>
      </w:r>
    </w:p>
    <w:p w14:paraId="7F69C5A7">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14:paraId="23E941B3">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5784984E">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14:paraId="571A9856">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3537A4DD">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14:paraId="5D01AA27">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41DF6871">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26B2A7A5">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631952A8">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06C9B633">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10F41971">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14:paraId="10097890">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4E10B037">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14:paraId="443B7A53">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34C4B68B">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14:paraId="771336F8">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30AC323F">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14:paraId="3FB25201">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0DB808AB">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14:paraId="13D11D0C">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0EEA84DE">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44A1DDDC">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7B016251">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20.图书档案学类：图书馆学，档案（学），信息资源管理，情报学，信息管理与信息系统，图书档案管理，图书情报硕士，信息管理，图书情报与档案管理</w:t>
      </w:r>
    </w:p>
    <w:p w14:paraId="3036F7DE">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47D1D5EF">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三、法学大类</w:t>
      </w:r>
    </w:p>
    <w:p w14:paraId="4EB34AB3">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14:paraId="6CB3D035">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6CC27BAA">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7A888553">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62057542">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14:paraId="538E2390">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721ABA1E">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14:paraId="5CE823CC">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4D1FEB65">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14:paraId="070CEA52">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1DD7DE5E">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14:paraId="221F1CE9">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00F4B156">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14:paraId="1F0EB904">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57D32A99">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四、教育学大类</w:t>
      </w:r>
    </w:p>
    <w:p w14:paraId="12502311">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6AE2FF07">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49B804A0">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14:paraId="324E6AB7">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3E9C125C">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43B6E64D">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77484B37">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31.科学教育类：科学与技术教育，科学教育，小学科学教育，物理教育，化学教育，生物教育，地理教育，学科教学（化学），学科教学（地理），学科教学（物理），学科教学（生物），课程与教学论（小学教学），小学教育（科学方向）</w:t>
      </w:r>
    </w:p>
    <w:p w14:paraId="50597E64">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60408D56">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五、理学、工学大类</w:t>
      </w:r>
    </w:p>
    <w:p w14:paraId="725520F0">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235D3709">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6A5C507B">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14:paraId="5902A9E5">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72CB209C">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63520073">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583FC2DF">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58DF02BE">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1EF85FB8">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36A15628">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71300E69">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37.天文学类：天文学，天体物理，天体测量与天体力学</w:t>
      </w:r>
    </w:p>
    <w:p w14:paraId="2710B9AD">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05CE8E9E">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38.地质学类：地质学，地球化学，矿物学、岩石学、矿床学，古生物学及地层学，构造地质学，第四纪地质学</w:t>
      </w:r>
    </w:p>
    <w:p w14:paraId="643607F4">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721A54D4">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54B7538C">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47EEE1D8">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40.地球物理学类：地球物理学，地球与空间科学，空间科学与技术，固体地球物理学，空间物理学，信息技术与地球物理，应用地球物理，空间信息与数字技术，防灾减灾科学与工程</w:t>
      </w:r>
    </w:p>
    <w:p w14:paraId="3220CD39">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234D071A">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41.大气科学类：大气科学，应用气象学，气象学，大气物理学与大气环境，大气科学技术，大气探测技术，应用气象技术，防雷技术，雷电防护技术，资源与环境</w:t>
      </w:r>
    </w:p>
    <w:p w14:paraId="1B04B7C8">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7C065D96">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42.海洋科学类：海洋科学，海洋技术，海洋资源与环境，海洋管理，军事海洋学，海洋生物资源与环境，物理海洋学，海洋化学，海洋生物学，海洋地质，海岸带综合管理，海洋物理（学）</w:t>
      </w:r>
    </w:p>
    <w:p w14:paraId="6FEF6045">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33710E1B">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43.心理学类：心理学，应用心理学（含临床心理学方向、犯罪心理学、社会心理学、心理咨询等），基础心理学，发展与教育心理学，人格心理学，认知神经科学，临床心理学，应用心理硕士，心理健康教育，应用心理</w:t>
      </w:r>
    </w:p>
    <w:p w14:paraId="6C4A01FD">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272FB6D7">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44.系统科学类：系统理论，系统科学与工程，系统分析与集成</w:t>
      </w:r>
    </w:p>
    <w:p w14:paraId="08FFD596">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142A9F22">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0937EF67">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5B203BB8">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14:paraId="7E7F0772">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042C0F9C">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14:paraId="269196DB">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4C9D9741">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14:paraId="131B30F1">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045C9C33">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w:t>
      </w:r>
    </w:p>
    <w:p w14:paraId="05649D37">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7B31F5B4">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14:paraId="6CE9B5AE">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1B4F887B">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14:paraId="00C7DB99">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74029001">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14:paraId="63D6995D">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1BE37C77">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53.计算机科学与技术类：计算机硬件技术类，计算机软件技术类，计算机网络技术类，计算机信息管理类，计算机多媒体技术类，计算机专门应用类</w:t>
      </w:r>
    </w:p>
    <w:p w14:paraId="033B04DF">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7233AA04">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2F7744CF">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128D0CD3">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14:paraId="7E594A84">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370971D8">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14:paraId="0890F437">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3CFC8CE1">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14:paraId="61F6D747">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74FC9B29">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14:paraId="59EF30C5">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765E5A11">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6DD44C96">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62613036">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14:paraId="7B1CDD7D">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08CF11D4">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0BF04658">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23217088">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1B27F052">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1640A244">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14:paraId="34858828">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0243D55B">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65F984A6">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00E6534B">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14:paraId="057B0376">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3F1E58F4">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66.交通运输类：交通运输综合管理类，交通运输装备类，公路运输类，铁道运输类，城市轨道运输类，水上运输类，民航运输类，港口运输类，管道运输类</w:t>
      </w:r>
    </w:p>
    <w:p w14:paraId="59DB301C">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6195E8BE">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14:paraId="2315E46B">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1D3FEA68">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68.交通运输装备类：交通设备信息工程，交通建设与装备，载运工具运用工程，交通装备检测及控制工程</w:t>
      </w:r>
    </w:p>
    <w:p w14:paraId="019782F9">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17E4FF7B">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506DBF96">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6D7E764D">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14:paraId="2785C429">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5CE3EF48">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14:paraId="19E0766B">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7C30A600">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3EFF9AD8">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274241F5">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14:paraId="03E666B7">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31E162C5">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1C6501C4">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0D1A9995">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75.管道运输类：管道工程技术，管道工程施工，管道运输管理，油气储运工程、油气储运技术</w:t>
      </w:r>
    </w:p>
    <w:p w14:paraId="64D25400">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7305589F">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0751974F">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77D06653">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14:paraId="0D9645DC">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135A236C">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349D62AA">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22BE56C0">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149AFE37">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728A7EAD">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2D1A0F80">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51C1564F">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14:paraId="0AC79005">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54FC94EB">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69AD4C17">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6299FA5D">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83.工程力学类：理论与应用力学，工程力学，工程结构分析，一般力学与力学基础，固体力学，流体力学</w:t>
      </w:r>
    </w:p>
    <w:p w14:paraId="5CDC1CD8">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50F07B71">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14:paraId="3174332E">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62774FF5">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85.农业工程类：农业硕士，农业工程，农业机械化及其自动化，农业电气化（与自动化），农业电气化技术，农业建筑环境与能源工程，农业水利工程，农业机械化工程，农业水土工程，农业生物环境与能源工程</w:t>
      </w:r>
    </w:p>
    <w:p w14:paraId="133B70E9">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453D44E1">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86.林业工程类：森林工程，木材科学与工程，林产化工，木材科学与技术，林产化学加工，林产化学加工工程，林产科学与化学工程，家具设计与工程，林产化工技术，林业工程</w:t>
      </w:r>
    </w:p>
    <w:p w14:paraId="1BB37892">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10463353">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87.光学工程类：光学工程</w:t>
      </w:r>
    </w:p>
    <w:p w14:paraId="6546A2A8">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4649C126">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14:paraId="0C5B4A88">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69CBAF71">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六、医学大类</w:t>
      </w:r>
    </w:p>
    <w:p w14:paraId="555B8E73">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89.基础医学类：基础医学，人体解剖与组织胚胎学，免疫学，病原生物学，病理生理学，航空、航天和航海医学，运动人体科学，医学实验学，分子生物医学，病理学与病理生理学，转化医学，再生医学，人文医学</w:t>
      </w:r>
    </w:p>
    <w:p w14:paraId="0FBBDC7C">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1148AC3D">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14:paraId="1E912092">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178BC08C">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5F90464B">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4A3A24F3">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14:paraId="761C67DA">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6839A57E">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14:paraId="72733886">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4A19A2F5">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94.法医学类：法医学</w:t>
      </w:r>
    </w:p>
    <w:p w14:paraId="1F6781B7">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3C7127B5">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95.护理学类：护理学，助产，护理，社区护理，中西医结合护理学，护理硕士，助产学，临床医学（临床护理学）</w:t>
      </w:r>
    </w:p>
    <w:p w14:paraId="1911FC29">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315EF413">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96.药学类：药学，药物制剂，社会发展与药事管理（学），临床药学，药事管理，药物化学，海洋药学，药物分析学，药剂学，应用药学，微生物与生化药学，药理学，食品安全与药物化学，药物制剂技术，生药学，药学硕士</w:t>
      </w:r>
    </w:p>
    <w:p w14:paraId="222BC969">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72D92FF9">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2F169667">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30AD2227">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七、农学大类</w:t>
      </w:r>
    </w:p>
    <w:p w14:paraId="144C1248">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0B52CF3B">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6C8740C5">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14:paraId="43DCA90B">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751D304A">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604704EE">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293FA672">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2370628A">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02C9644D">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48135A63">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6187700B">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八、军事学大类</w:t>
      </w:r>
    </w:p>
    <w:p w14:paraId="07A9FA77">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14:paraId="01FC88D5">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4F00F4A4">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14:paraId="7AAE8FB5">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10C65363">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105.军事测绘遥感类：测量工程，地图学与地理信息工程，工程物理，生化防护工程，国防工程与防护，伪装工程，舰船与海洋工程，飞行器系统与工程，空间工程，兵器工程，导弹工程，弹药工程，地雷爆破与破障工程</w:t>
      </w:r>
    </w:p>
    <w:p w14:paraId="686226D4">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58DE6C81">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106.军事控制测试类：火力指挥与控制工程，测控工程，无人机运用工程，无人机应用技术，探测工程</w:t>
      </w:r>
    </w:p>
    <w:p w14:paraId="44F88802">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79ED14F7">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107.军事经济管理类：军队财务管理，装备经济管理，军队审计，军队采办，军事组织编制学，军队管理学，部队政治工作，部队财务会计，部队后勤管理，军队政治工作学，军事后勤学，后方专业勤务</w:t>
      </w:r>
    </w:p>
    <w:p w14:paraId="03EC9A1B">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6FC2FCBF">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108.兵种指挥类：炮兵指挥，防空兵指挥，装甲兵指挥，工程兵指挥，防化兵指挥，联合战役学，军种战役学，合同战术学，兵种战术学，武警指挥</w:t>
      </w:r>
    </w:p>
    <w:p w14:paraId="65FC2A61">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5540BE43">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109.航空航天指挥类：航空飞行与指挥，地面领航与航空管制，航天指挥</w:t>
      </w:r>
    </w:p>
    <w:p w14:paraId="1E777B12">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06FCEB81">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110.信息作战指挥类：侦察与特种兵指挥，通信指挥，电子对抗指挥与工程，军事情报，作战信息管理，预警探测指挥，作战指挥学，军事运筹学，军事通信学，军事情报学，密码学，密码技术应用，军事教育训练学</w:t>
      </w:r>
    </w:p>
    <w:p w14:paraId="3FBAC3A2">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6F36957A">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111.保障指挥类：军事交通指挥与工程，汽车指挥，船艇指挥，航空兵场站指挥，国防工程指挥，装备保障指挥，军需勤务指挥，军事装备学</w:t>
      </w:r>
    </w:p>
    <w:p w14:paraId="34C0E73A">
      <w:pPr>
        <w:widowControl/>
        <w:shd w:val="clear" w:color="auto"/>
        <w:spacing w:line="390" w:lineRule="atLeast"/>
        <w:ind w:firstLine="440"/>
        <w:jc w:val="left"/>
        <w:rPr>
          <w:rFonts w:hint="eastAsia" w:ascii="微软雅黑" w:hAnsi="微软雅黑" w:eastAsia="微软雅黑" w:cs="宋体"/>
          <w:color w:val="333333"/>
          <w:kern w:val="0"/>
          <w:sz w:val="24"/>
          <w:szCs w:val="24"/>
        </w:rPr>
      </w:pPr>
    </w:p>
    <w:p w14:paraId="75A36112">
      <w:pPr>
        <w:widowControl/>
        <w:shd w:val="clear" w:color="auto"/>
        <w:spacing w:line="390" w:lineRule="atLeas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注：所学专业与招考职位所需专业仅有“和”“与”“及”“及其”等连接词的不同，或者多、少1个“学”字的差别的，视为同一专业。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29C"/>
    <w:rsid w:val="002702FD"/>
    <w:rsid w:val="0097029C"/>
    <w:rsid w:val="46042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4"/>
    <w:basedOn w:val="1"/>
    <w:link w:val="11"/>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Balloon Text"/>
    <w:basedOn w:val="1"/>
    <w:link w:val="18"/>
    <w:semiHidden/>
    <w:unhideWhenUsed/>
    <w:uiPriority w:val="99"/>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character" w:customStyle="1" w:styleId="10">
    <w:name w:val="标题 2 Char"/>
    <w:basedOn w:val="7"/>
    <w:link w:val="2"/>
    <w:uiPriority w:val="9"/>
    <w:rPr>
      <w:rFonts w:ascii="宋体" w:hAnsi="宋体" w:eastAsia="宋体" w:cs="宋体"/>
      <w:b/>
      <w:bCs/>
      <w:kern w:val="0"/>
      <w:sz w:val="36"/>
      <w:szCs w:val="36"/>
    </w:rPr>
  </w:style>
  <w:style w:type="character" w:customStyle="1" w:styleId="11">
    <w:name w:val="标题 4 Char"/>
    <w:basedOn w:val="7"/>
    <w:link w:val="3"/>
    <w:uiPriority w:val="9"/>
    <w:rPr>
      <w:rFonts w:ascii="宋体" w:hAnsi="宋体" w:eastAsia="宋体" w:cs="宋体"/>
      <w:b/>
      <w:bCs/>
      <w:kern w:val="0"/>
      <w:sz w:val="24"/>
      <w:szCs w:val="24"/>
    </w:rPr>
  </w:style>
  <w:style w:type="character" w:customStyle="1" w:styleId="12">
    <w:name w:val="ipv6"/>
    <w:basedOn w:val="7"/>
    <w:uiPriority w:val="0"/>
  </w:style>
  <w:style w:type="paragraph" w:customStyle="1" w:styleId="13">
    <w:name w:val="HTML Top of Form"/>
    <w:basedOn w:val="1"/>
    <w:next w:val="1"/>
    <w:link w:val="14"/>
    <w:semiHidden/>
    <w:unhideWhenUsed/>
    <w:uiPriority w:val="99"/>
    <w:pPr>
      <w:widowControl/>
      <w:pBdr>
        <w:bottom w:val="single" w:color="auto" w:sz="6" w:space="1"/>
      </w:pBdr>
      <w:jc w:val="center"/>
    </w:pPr>
    <w:rPr>
      <w:rFonts w:ascii="Arial" w:hAnsi="Arial" w:eastAsia="宋体" w:cs="Arial"/>
      <w:vanish/>
      <w:kern w:val="0"/>
      <w:sz w:val="16"/>
      <w:szCs w:val="16"/>
    </w:rPr>
  </w:style>
  <w:style w:type="character" w:customStyle="1" w:styleId="14">
    <w:name w:val="z-窗体顶端 Char"/>
    <w:basedOn w:val="7"/>
    <w:link w:val="13"/>
    <w:semiHidden/>
    <w:uiPriority w:val="99"/>
    <w:rPr>
      <w:rFonts w:ascii="Arial" w:hAnsi="Arial" w:eastAsia="宋体" w:cs="Arial"/>
      <w:vanish/>
      <w:kern w:val="0"/>
      <w:sz w:val="16"/>
      <w:szCs w:val="16"/>
    </w:rPr>
  </w:style>
  <w:style w:type="paragraph" w:customStyle="1" w:styleId="15">
    <w:name w:val="HTML Bottom of Form"/>
    <w:basedOn w:val="1"/>
    <w:next w:val="1"/>
    <w:link w:val="16"/>
    <w:semiHidden/>
    <w:unhideWhenUsed/>
    <w:uiPriority w:val="99"/>
    <w:pPr>
      <w:widowControl/>
      <w:pBdr>
        <w:top w:val="single" w:color="auto" w:sz="6" w:space="1"/>
      </w:pBdr>
      <w:jc w:val="center"/>
    </w:pPr>
    <w:rPr>
      <w:rFonts w:ascii="Arial" w:hAnsi="Arial" w:eastAsia="宋体" w:cs="Arial"/>
      <w:vanish/>
      <w:kern w:val="0"/>
      <w:sz w:val="16"/>
      <w:szCs w:val="16"/>
    </w:rPr>
  </w:style>
  <w:style w:type="character" w:customStyle="1" w:styleId="16">
    <w:name w:val="z-窗体底端 Char"/>
    <w:basedOn w:val="7"/>
    <w:link w:val="15"/>
    <w:semiHidden/>
    <w:uiPriority w:val="99"/>
    <w:rPr>
      <w:rFonts w:ascii="Arial" w:hAnsi="Arial" w:eastAsia="宋体" w:cs="Arial"/>
      <w:vanish/>
      <w:kern w:val="0"/>
      <w:sz w:val="16"/>
      <w:szCs w:val="16"/>
    </w:rPr>
  </w:style>
  <w:style w:type="paragraph" w:customStyle="1" w:styleId="17">
    <w:name w:val="hide1000"/>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批注框文本 Char"/>
    <w:basedOn w:val="7"/>
    <w:link w:val="4"/>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49</Pages>
  <Words>10638</Words>
  <Characters>10710</Characters>
  <Lines>220</Lines>
  <Paragraphs>62</Paragraphs>
  <TotalTime>5</TotalTime>
  <ScaleCrop>false</ScaleCrop>
  <LinksUpToDate>false</LinksUpToDate>
  <CharactersWithSpaces>10710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2025-02-10T09:19:00Z</dcterms:created>
  <dc:creator>WIN</dc:creator>
  <cp:lastModifiedBy>邹然</cp:lastModifiedBy>
  <dcterms:modified xsi:type="dcterms:W3CDTF">2025-04-25T01:09:21Z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eyJoZGlkIjoiYTA5NzVkOTc2Yjc2M2Y2MjljMzQ0MDc5YzU4NmMzYTAiLCJ1c2VySWQiOiIzMjUxOTYzMTEifQ==</vt:lpwstr>
  </property>
  <property fmtid="{D5CDD505-2E9C-101B-9397-08002B2CF9AE}" pid="3" name="KSOProductBuildVer">
    <vt:lpwstr>2052-12.1.0.20784</vt:lpwstr>
  </property>
  <property fmtid="{D5CDD505-2E9C-101B-9397-08002B2CF9AE}" pid="4" name="ICV">
    <vt:lpwstr>8757D7D96BDF4FBA9D0106C92D22C2AC_12</vt:lpwstr>
  </property>
</Properties>
</file>