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DE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百南乡2025年补充招聘村级防贫监测员</w:t>
      </w:r>
    </w:p>
    <w:p w14:paraId="0FD35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队伍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公告</w:t>
      </w:r>
    </w:p>
    <w:p w14:paraId="095FB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aps w:val="0"/>
          <w:color w:val="000000"/>
          <w:spacing w:val="0"/>
          <w:sz w:val="32"/>
          <w:szCs w:val="32"/>
          <w:shd w:val="clear" w:color="auto" w:fill="FFFFFF"/>
        </w:rPr>
      </w:pPr>
    </w:p>
    <w:p w14:paraId="54122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aps w:val="0"/>
          <w:color w:val="000000"/>
          <w:spacing w:val="0"/>
          <w:sz w:val="32"/>
          <w:szCs w:val="32"/>
          <w:shd w:val="clear" w:color="auto" w:fill="FFFFFF"/>
        </w:rPr>
        <w:t>为加强</w:t>
      </w:r>
      <w:r>
        <w:rPr>
          <w:rFonts w:hint="eastAsia" w:ascii="仿宋_GB2312" w:hAnsi="仿宋_GB2312" w:eastAsia="仿宋_GB2312" w:cs="仿宋_GB2312"/>
          <w:b w:val="0"/>
          <w:bCs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百南乡防贫监测员</w:t>
      </w:r>
      <w:r>
        <w:rPr>
          <w:rFonts w:hint="eastAsia" w:ascii="仿宋_GB2312" w:hAnsi="仿宋_GB2312" w:eastAsia="仿宋_GB2312" w:cs="仿宋_GB2312"/>
          <w:b w:val="0"/>
          <w:bCs/>
          <w:caps w:val="0"/>
          <w:color w:val="000000"/>
          <w:spacing w:val="0"/>
          <w:sz w:val="32"/>
          <w:szCs w:val="32"/>
          <w:shd w:val="clear" w:color="auto" w:fill="FFFFFF"/>
        </w:rPr>
        <w:t>队伍建设，切实</w:t>
      </w:r>
      <w:r>
        <w:rPr>
          <w:rFonts w:hint="eastAsia" w:ascii="仿宋_GB2312" w:hAnsi="仿宋_GB2312" w:eastAsia="仿宋_GB2312" w:cs="仿宋_GB2312"/>
          <w:b w:val="0"/>
          <w:bCs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巩固提高脱贫攻坚与乡村振兴有效衔接的能力</w:t>
      </w:r>
      <w:r>
        <w:rPr>
          <w:rFonts w:hint="eastAsia" w:ascii="仿宋_GB2312" w:hAnsi="仿宋_GB2312" w:eastAsia="仿宋_GB2312" w:cs="仿宋_GB2312"/>
          <w:b w:val="0"/>
          <w:bCs/>
          <w:caps w:val="0"/>
          <w:color w:val="000000"/>
          <w:spacing w:val="0"/>
          <w:sz w:val="32"/>
          <w:szCs w:val="32"/>
          <w:shd w:val="clear" w:color="auto" w:fill="FFFFFF"/>
        </w:rPr>
        <w:t>，保障人民群众</w:t>
      </w:r>
      <w:r>
        <w:rPr>
          <w:rFonts w:hint="eastAsia" w:ascii="仿宋_GB2312" w:hAnsi="仿宋_GB2312" w:eastAsia="仿宋_GB2312" w:cs="仿宋_GB2312"/>
          <w:b w:val="0"/>
          <w:bCs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享受脱贫攻坚发展成果</w:t>
      </w:r>
      <w:r>
        <w:rPr>
          <w:rFonts w:hint="eastAsia" w:ascii="仿宋_GB2312" w:hAnsi="仿宋_GB2312" w:eastAsia="仿宋_GB2312" w:cs="仿宋_GB2312"/>
          <w:b w:val="0"/>
          <w:bCs/>
          <w:caps w:val="0"/>
          <w:color w:val="000000"/>
          <w:spacing w:val="0"/>
          <w:sz w:val="32"/>
          <w:szCs w:val="32"/>
          <w:shd w:val="clear" w:color="auto" w:fill="FFFFFF"/>
        </w:rPr>
        <w:t>。经</w:t>
      </w:r>
      <w:r>
        <w:rPr>
          <w:rFonts w:hint="eastAsia" w:ascii="仿宋_GB2312" w:hAnsi="仿宋_GB2312" w:eastAsia="仿宋_GB2312" w:cs="仿宋_GB2312"/>
          <w:b w:val="0"/>
          <w:bCs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县人民政府同意</w:t>
      </w:r>
      <w:r>
        <w:rPr>
          <w:rFonts w:hint="eastAsia" w:ascii="仿宋_GB2312" w:hAnsi="仿宋_GB2312" w:eastAsia="仿宋_GB2312" w:cs="仿宋_GB2312"/>
          <w:b w:val="0"/>
          <w:bCs/>
          <w:caps w:val="0"/>
          <w:color w:val="000000"/>
          <w:spacing w:val="0"/>
          <w:sz w:val="32"/>
          <w:szCs w:val="32"/>
          <w:shd w:val="clear" w:color="auto" w:fill="FFFFFF"/>
        </w:rPr>
        <w:t>，按照“公平、公正、公开、竞争、择优”的原则，面向社会公开招聘</w:t>
      </w:r>
      <w:r>
        <w:rPr>
          <w:rFonts w:hint="eastAsia" w:ascii="仿宋_GB2312" w:hAnsi="仿宋_GB2312" w:eastAsia="仿宋_GB2312" w:cs="仿宋_GB2312"/>
          <w:b w:val="0"/>
          <w:bCs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编外工作人员（县聘临时工）</w:t>
      </w:r>
      <w:r>
        <w:rPr>
          <w:rFonts w:hint="eastAsia" w:ascii="仿宋_GB2312" w:hAnsi="仿宋_GB2312" w:eastAsia="仿宋_GB2312" w:cs="仿宋_GB2312"/>
          <w:b w:val="0"/>
          <w:bCs/>
          <w:caps w:val="0"/>
          <w:color w:val="000000"/>
          <w:spacing w:val="0"/>
          <w:sz w:val="32"/>
          <w:szCs w:val="32"/>
          <w:shd w:val="clear" w:color="auto" w:fill="FFFFFF"/>
        </w:rPr>
        <w:t>。现将有关事宜公告如下：</w:t>
      </w:r>
    </w:p>
    <w:p w14:paraId="4A60A9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一、招聘原则</w:t>
      </w:r>
    </w:p>
    <w:p w14:paraId="68A53C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按照德才兼备和“公开、公正、公平”的原则，实行公开招聘，选拔政治合格，品行端正，素质过硬的人才，择优聘用。</w:t>
      </w:r>
    </w:p>
    <w:p w14:paraId="3E71461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黑体" w:eastAsia="黑体" w:cs="黑体"/>
          <w:b w:val="0"/>
          <w:bCs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Style w:val="5"/>
          <w:rFonts w:hint="eastAsia" w:ascii="黑体" w:hAnsi="黑体" w:eastAsia="黑体" w:cs="黑体"/>
          <w:b w:val="0"/>
          <w:bCs/>
          <w:caps w:val="0"/>
          <w:color w:val="000000"/>
          <w:spacing w:val="0"/>
          <w:sz w:val="32"/>
          <w:szCs w:val="32"/>
          <w:shd w:val="clear" w:color="auto" w:fill="FFFFFF"/>
        </w:rPr>
        <w:t>招聘</w:t>
      </w:r>
      <w:r>
        <w:rPr>
          <w:rStyle w:val="5"/>
          <w:rFonts w:hint="eastAsia" w:ascii="黑体" w:hAnsi="黑体" w:eastAsia="黑体" w:cs="黑体"/>
          <w:b w:val="0"/>
          <w:bCs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数量及</w:t>
      </w:r>
      <w:r>
        <w:rPr>
          <w:rStyle w:val="5"/>
          <w:rFonts w:hint="eastAsia" w:ascii="黑体" w:hAnsi="黑体" w:eastAsia="黑体" w:cs="黑体"/>
          <w:b w:val="0"/>
          <w:bCs/>
          <w:caps w:val="0"/>
          <w:color w:val="000000"/>
          <w:spacing w:val="0"/>
          <w:sz w:val="32"/>
          <w:szCs w:val="32"/>
          <w:shd w:val="clear" w:color="auto" w:fill="FFFFFF"/>
        </w:rPr>
        <w:t>职位</w:t>
      </w:r>
    </w:p>
    <w:p w14:paraId="5A2664A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color="auto" w:fill="FFFFFF"/>
        </w:rPr>
        <w:t>1</w:t>
      </w:r>
      <w:r>
        <w:rPr>
          <w:rStyle w:val="5"/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.</w:t>
      </w:r>
      <w:r>
        <w:rPr>
          <w:rStyle w:val="5"/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color="auto" w:fill="FFFFFF"/>
        </w:rPr>
        <w:t>招聘数量：</w:t>
      </w:r>
      <w:r>
        <w:rPr>
          <w:rStyle w:val="5"/>
          <w:rFonts w:hint="eastAsia" w:ascii="仿宋_GB2312" w:hAnsi="仿宋_GB2312" w:eastAsia="仿宋_GB2312" w:cs="仿宋_GB2312"/>
          <w:b w:val="0"/>
          <w:bCs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5"/>
          <w:rFonts w:hint="eastAsia" w:ascii="仿宋_GB2312" w:hAnsi="仿宋_GB2312" w:eastAsia="仿宋_GB2312" w:cs="仿宋_GB2312"/>
          <w:b w:val="0"/>
          <w:bCs/>
          <w:caps w:val="0"/>
          <w:color w:val="000000"/>
          <w:spacing w:val="0"/>
          <w:sz w:val="32"/>
          <w:szCs w:val="32"/>
          <w:shd w:val="clear" w:color="auto" w:fill="FFFFFF"/>
        </w:rPr>
        <w:t>名</w:t>
      </w:r>
      <w:r>
        <w:rPr>
          <w:rStyle w:val="5"/>
          <w:rFonts w:hint="eastAsia" w:ascii="仿宋_GB2312" w:hAnsi="仿宋_GB2312" w:eastAsia="仿宋_GB2312" w:cs="仿宋_GB2312"/>
          <w:b w:val="0"/>
          <w:bCs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0420C45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color="auto" w:fill="FFFFFF"/>
        </w:rPr>
        <w:t>2</w:t>
      </w:r>
      <w:r>
        <w:rPr>
          <w:rStyle w:val="5"/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.</w:t>
      </w:r>
      <w:r>
        <w:rPr>
          <w:rStyle w:val="5"/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color="auto" w:fill="FFFFFF"/>
        </w:rPr>
        <w:t>招聘职位：</w:t>
      </w:r>
      <w:r>
        <w:rPr>
          <w:rStyle w:val="5"/>
          <w:rFonts w:hint="eastAsia" w:ascii="仿宋_GB2312" w:hAnsi="仿宋_GB2312" w:eastAsia="仿宋_GB2312" w:cs="仿宋_GB2312"/>
          <w:b w:val="0"/>
          <w:bCs/>
          <w:caps w:val="0"/>
          <w:color w:val="000000"/>
          <w:spacing w:val="0"/>
          <w:sz w:val="32"/>
          <w:szCs w:val="32"/>
          <w:shd w:val="clear" w:color="auto" w:fill="FFFFFF"/>
        </w:rPr>
        <w:t>那坡县</w:t>
      </w:r>
      <w:r>
        <w:rPr>
          <w:rStyle w:val="5"/>
          <w:rFonts w:hint="eastAsia" w:ascii="仿宋_GB2312" w:hAnsi="仿宋_GB2312" w:eastAsia="仿宋_GB2312" w:cs="仿宋_GB2312"/>
          <w:b w:val="0"/>
          <w:bCs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百南乡</w:t>
      </w:r>
      <w:r>
        <w:rPr>
          <w:rStyle w:val="5"/>
          <w:rFonts w:hint="eastAsia" w:ascii="仿宋_GB2312" w:hAnsi="仿宋_GB2312" w:eastAsia="仿宋_GB2312" w:cs="仿宋_GB2312"/>
          <w:b w:val="0"/>
          <w:bCs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村级</w:t>
      </w:r>
      <w:r>
        <w:rPr>
          <w:rStyle w:val="5"/>
          <w:rFonts w:hint="eastAsia" w:ascii="仿宋_GB2312" w:hAnsi="仿宋_GB2312" w:eastAsia="仿宋_GB2312" w:cs="仿宋_GB2312"/>
          <w:b w:val="0"/>
          <w:bCs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防贫监测</w:t>
      </w:r>
      <w:r>
        <w:rPr>
          <w:rStyle w:val="5"/>
          <w:rFonts w:hint="eastAsia" w:ascii="仿宋_GB2312" w:hAnsi="仿宋_GB2312" w:eastAsia="仿宋_GB2312" w:cs="仿宋_GB2312"/>
          <w:b w:val="0"/>
          <w:bCs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信息</w:t>
      </w:r>
      <w:r>
        <w:rPr>
          <w:rStyle w:val="5"/>
          <w:rFonts w:hint="eastAsia" w:ascii="仿宋_GB2312" w:hAnsi="仿宋_GB2312" w:eastAsia="仿宋_GB2312" w:cs="仿宋_GB2312"/>
          <w:b w:val="0"/>
          <w:bCs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员</w:t>
      </w:r>
    </w:p>
    <w:p w14:paraId="760B792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color="auto" w:fill="FFFFFF"/>
        </w:rPr>
        <w:t>3</w:t>
      </w:r>
      <w:r>
        <w:rPr>
          <w:rStyle w:val="5"/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.</w:t>
      </w:r>
      <w:r>
        <w:rPr>
          <w:rStyle w:val="5"/>
          <w:rFonts w:hint="eastAsia" w:ascii="仿宋_GB2312" w:hAnsi="仿宋_GB2312" w:eastAsia="仿宋_GB2312" w:cs="仿宋_GB2312"/>
          <w:b/>
          <w:bCs w:val="0"/>
          <w:caps w:val="0"/>
          <w:color w:val="000000"/>
          <w:spacing w:val="0"/>
          <w:sz w:val="32"/>
          <w:szCs w:val="32"/>
          <w:shd w:val="clear" w:color="auto" w:fill="FFFFFF"/>
        </w:rPr>
        <w:t>身份：</w:t>
      </w:r>
      <w:r>
        <w:rPr>
          <w:rStyle w:val="5"/>
          <w:rFonts w:hint="eastAsia" w:ascii="仿宋_GB2312" w:hAnsi="仿宋_GB2312" w:eastAsia="仿宋_GB2312" w:cs="仿宋_GB2312"/>
          <w:b w:val="0"/>
          <w:bCs/>
          <w:caps w:val="0"/>
          <w:color w:val="000000"/>
          <w:spacing w:val="0"/>
          <w:sz w:val="32"/>
          <w:szCs w:val="32"/>
          <w:shd w:val="clear" w:color="auto" w:fill="FFFFFF"/>
        </w:rPr>
        <w:t>属编外聘用人员。</w:t>
      </w:r>
    </w:p>
    <w:p w14:paraId="3E7053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、工资福利及相关待遇</w:t>
      </w:r>
    </w:p>
    <w:p w14:paraId="4103C6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聘用人员的待遇和管理按那坡县人民政府关于印发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那坡县行政机关事业单位临时聘用工作人员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及政府购买服务人员管理办法（试行）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的通知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（那政发〔20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〕1号）执行（除标注特殊岗位除外），月工资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元，政府代缴五险，个人部分从工资扣除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年度绩效奖励与县聘临时工享受同等待遇。</w:t>
      </w:r>
    </w:p>
    <w:p w14:paraId="2DED9F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招聘条件</w:t>
      </w:r>
    </w:p>
    <w:p w14:paraId="1394D1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拥护党的领导，能够自觉执行党的路线、方针、政策，具有较好的思想政治素质，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</w:rPr>
        <w:t>风正派，遵纪守法，群众基础好；</w:t>
      </w:r>
    </w:p>
    <w:p w14:paraId="03D87E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热爱基层工作，有较强的事业心和责任感，有奉献精神，热心为群众办实事；</w:t>
      </w:r>
    </w:p>
    <w:p w14:paraId="21D550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有一定的写作基础，反应敏捷，善于沟通，语言表达能力较强；</w:t>
      </w:r>
    </w:p>
    <w:p w14:paraId="4E97F83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户籍为那坡县公民；</w:t>
      </w:r>
    </w:p>
    <w:p w14:paraId="1A51A1B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年龄在35周岁（19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日以后出生）以下，原则上大专及以上学历；</w:t>
      </w:r>
    </w:p>
    <w:p w14:paraId="3EE707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能够熟练运用W0RD、EXCEL等常用办公软件，有计算机等级证书的择优录取；</w:t>
      </w:r>
    </w:p>
    <w:p w14:paraId="5C9C71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身体健康；</w:t>
      </w:r>
    </w:p>
    <w:p w14:paraId="52BB5C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能够服从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乡村振兴办</w:t>
      </w:r>
      <w:r>
        <w:rPr>
          <w:rFonts w:hint="eastAsia" w:ascii="仿宋_GB2312" w:hAnsi="仿宋_GB2312" w:eastAsia="仿宋_GB2312" w:cs="仿宋_GB2312"/>
          <w:sz w:val="32"/>
          <w:szCs w:val="32"/>
        </w:rPr>
        <w:t>日常管理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7073D7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招聘流程</w:t>
      </w:r>
    </w:p>
    <w:p w14:paraId="352100D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招聘工作由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百南乡人民政府党政综合办公室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组织实施，招聘程序具体包括发布公告、报名、笔试（机试）、面试、体检、考核、聘用。</w:t>
      </w:r>
    </w:p>
    <w:p w14:paraId="37E3E8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（一）报名方式</w:t>
      </w:r>
    </w:p>
    <w:p w14:paraId="26586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本次选聘可采取现场报名或网上报名的方式。</w:t>
      </w:r>
    </w:p>
    <w:p w14:paraId="5FEB58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报名时间：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2025年4月11日至2025年4月19日，每天8：00-12：00，15：00-18：00（双休日不办理报名手续）。</w:t>
      </w:r>
    </w:p>
    <w:p w14:paraId="029C9BF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120" w:afterAutospacing="0" w:line="560" w:lineRule="exact"/>
        <w:ind w:left="0" w:right="0" w:firstLine="646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报名办法：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现场报名者持本人有效身份证件、户口簿、毕业证原件及复印件、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防贫监测信息员报名表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（各1份），接受报名资格审查。网上报名者需将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防贫监测信息员报名表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、本人有效身份证件、户口簿、毕业证投递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百南乡人民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政府邮箱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"mailto:npbnx@163.com，"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npbnx@163.com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</w:p>
    <w:p w14:paraId="4EE654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现场报名地点：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那坡县百南乡党政综合办公室，联系电话：0776-6750049.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 w14:paraId="24AAA7F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right="0" w:hanging="640" w:hangingChars="200"/>
        <w:jc w:val="both"/>
        <w:textAlignment w:val="auto"/>
        <w:rPr>
          <w:rFonts w:hint="eastAsia" w:ascii="黑体" w:hAnsi="黑体" w:eastAsia="楷体_GB2312" w:cs="黑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　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（二）电脑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机试</w:t>
      </w:r>
    </w:p>
    <w:p w14:paraId="3F5CAFA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电脑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机试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内容包括：</w:t>
      </w:r>
      <w:r>
        <w:rPr>
          <w:rFonts w:hint="eastAsia" w:ascii="仿宋_GB2312" w:hAnsi="仿宋_GB2312" w:eastAsia="仿宋_GB2312" w:cs="仿宋_GB2312"/>
          <w:sz w:val="32"/>
          <w:szCs w:val="32"/>
        </w:rPr>
        <w:t>W0RD、EXCEL等常用办公软件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的使用。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满分为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电脑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机试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时间、地点另行通知。</w:t>
      </w:r>
    </w:p>
    <w:p w14:paraId="130F7B90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面试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                  </w:t>
      </w:r>
    </w:p>
    <w:p w14:paraId="0FD30B3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电脑机试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成绩从高到低，按照招聘计划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的比例确定人员参加面试，面试主要测试应试者的综合分析能力、语言表达能力、应变能力、仪态仪表等，满分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分。</w:t>
      </w:r>
    </w:p>
    <w:p w14:paraId="4B9BEF2A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firstLine="0" w:firstLineChars="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体检</w:t>
      </w:r>
    </w:p>
    <w:p w14:paraId="274B89E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面试结束后，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电脑机试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和面试综合成绩从高到低（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电脑机试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成绩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</w:rPr>
        <w:t>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60%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+面试成绩</w:t>
      </w:r>
      <w:r>
        <w:rPr>
          <w:rFonts w:hint="default" w:ascii="Arial" w:hAnsi="Arial" w:eastAsia="仿宋_GB2312" w:cs="Arial"/>
          <w:i w:val="0"/>
          <w:iCs w:val="0"/>
          <w:caps w:val="0"/>
          <w:color w:val="auto"/>
          <w:spacing w:val="0"/>
          <w:sz w:val="32"/>
          <w:szCs w:val="32"/>
        </w:rPr>
        <w:t>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40%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）进行排序，按照招聘计划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1：1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的比例确定人员参加体检。体检标准参照《公务员录用体检通用标准（试行）》执行。体检不合格的，按照考试成绩排名从高到低依次等额递补。体检项目外发生的费用按照实际发生额由考生承担。</w:t>
      </w:r>
    </w:p>
    <w:p w14:paraId="49A7760B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firstLine="0" w:firstLineChars="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考核</w:t>
      </w:r>
    </w:p>
    <w:p w14:paraId="2415035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体检合格后进行政审考核，重点对其思想表现、道德品质等情况进行考核，并复查报考资格。考核中发现不符合聘用条件的，取消聘用资格，按照考试成绩排名从高到低依次等额递补考核人选。</w:t>
      </w:r>
    </w:p>
    <w:p w14:paraId="6B424E9C"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firstLine="0" w:firstLineChars="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聘用</w:t>
      </w:r>
    </w:p>
    <w:p w14:paraId="73C5D5E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考核合格后，拟聘用人员面向社会公示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个工作日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无异议，签订劳动合同，试用期为六个月。聘用人员实行一年一聘，年终考核合格的由用人单位继续聘用，不合格的给予辞退。</w:t>
      </w:r>
    </w:p>
    <w:p w14:paraId="764037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有下列情形的人员不得作为防贫监测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</w:t>
      </w:r>
      <w:r>
        <w:rPr>
          <w:rFonts w:hint="eastAsia" w:ascii="黑体" w:hAnsi="黑体" w:eastAsia="黑体" w:cs="黑体"/>
          <w:sz w:val="32"/>
          <w:szCs w:val="32"/>
        </w:rPr>
        <w:t>员人选</w:t>
      </w:r>
    </w:p>
    <w:p w14:paraId="6B302A3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违反国家法律、法规和党纪、政纪，正被立案调查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139BCD0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受到党政纪处分且处分期未满的；</w:t>
      </w:r>
    </w:p>
    <w:p w14:paraId="569A104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热衷于封建迷信、宗派活动或参加邪教组织；</w:t>
      </w:r>
    </w:p>
    <w:p w14:paraId="0361D14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不能在任职地工作的；</w:t>
      </w:r>
    </w:p>
    <w:p w14:paraId="079C7AC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提供虚假信息的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A2265E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其他不适宜聘用的情形。</w:t>
      </w:r>
    </w:p>
    <w:p w14:paraId="35AB62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120" w:afterAutospacing="0" w:line="560" w:lineRule="exact"/>
        <w:ind w:left="0" w:right="0" w:firstLine="646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七、招聘工作监督</w:t>
      </w:r>
    </w:p>
    <w:p w14:paraId="454F5B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120" w:afterAutospacing="0" w:line="560" w:lineRule="exact"/>
        <w:ind w:left="0" w:right="0" w:firstLine="646"/>
        <w:textAlignment w:val="auto"/>
        <w:rPr>
          <w:rFonts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由乡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纪委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负责对此次补充招聘工作进行全程监督，及时受理招聘过程中群众反映的问题，对调查属实的按有关规定严肃处理。</w:t>
      </w:r>
    </w:p>
    <w:p w14:paraId="71E8EF6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120" w:afterAutospacing="0" w:line="560" w:lineRule="exact"/>
        <w:ind w:left="0" w:right="0" w:firstLine="646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对补充招聘录用的相关事宜，由百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乡人民政府负责解释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7DBB6F2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120" w:afterAutospacing="0" w:line="560" w:lineRule="exact"/>
        <w:ind w:left="0" w:right="0" w:firstLine="646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6A63DC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120" w:afterAutospacing="0" w:line="560" w:lineRule="exact"/>
        <w:ind w:left="0" w:right="0" w:firstLine="646"/>
        <w:textAlignment w:val="auto"/>
        <w:rPr>
          <w:rFonts w:hint="default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附件：百南乡2025年防贫监测信息员报名表</w:t>
      </w:r>
    </w:p>
    <w:p w14:paraId="6BFA6C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840" w:right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5B86E9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840" w:rightChars="40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那坡县百南乡人民政府</w:t>
      </w:r>
    </w:p>
    <w:p w14:paraId="0F21D8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840" w:rightChars="40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2025年4月11日</w:t>
      </w:r>
    </w:p>
    <w:p w14:paraId="08684242">
      <w:pPr>
        <w:pStyle w:val="2"/>
        <w:widowControl/>
        <w:shd w:val="clear" w:color="auto" w:fill="FFFFFF"/>
        <w:spacing w:before="450" w:beforeAutospacing="0" w:afterAutospacing="0" w:line="499" w:lineRule="atLeas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6C8FFAD7">
      <w:pPr>
        <w:pStyle w:val="7"/>
        <w:spacing w:line="523" w:lineRule="exac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百南乡2025年防贫监测信息员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报名表</w:t>
      </w:r>
    </w:p>
    <w:p w14:paraId="1146FDC1">
      <w:pPr>
        <w:pStyle w:val="8"/>
        <w:ind w:left="0" w:firstLine="5400" w:firstLineChars="225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报名时间：</w:t>
      </w:r>
    </w:p>
    <w:tbl>
      <w:tblPr>
        <w:tblStyle w:val="3"/>
        <w:tblW w:w="875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8"/>
        <w:gridCol w:w="1276"/>
        <w:gridCol w:w="851"/>
        <w:gridCol w:w="1134"/>
        <w:gridCol w:w="1418"/>
        <w:gridCol w:w="1418"/>
        <w:gridCol w:w="2153"/>
      </w:tblGrid>
      <w:tr w14:paraId="6A1CAB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exac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1EF168">
            <w:pPr>
              <w:pStyle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2B1D408">
            <w:pPr>
              <w:numPr>
                <w:ilvl w:val="0"/>
                <w:numId w:val="0"/>
              </w:numPr>
              <w:ind w:left="0" w:leftChars="0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6FFC7FB">
            <w:pPr>
              <w:pStyle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35087C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E01329">
            <w:pPr>
              <w:pStyle w:val="9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C95F6C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365EFC">
            <w:pPr>
              <w:pStyle w:val="9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 w14:paraId="530A95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2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37514B24">
            <w:pPr>
              <w:pStyle w:val="9"/>
              <w:spacing w:after="300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B3DAA9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774336A8">
            <w:pPr>
              <w:pStyle w:val="9"/>
              <w:spacing w:after="280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4BFFD43A">
            <w:pPr>
              <w:pStyle w:val="9"/>
              <w:spacing w:after="28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647C546">
            <w:pPr>
              <w:pStyle w:val="9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A079968">
            <w:pPr>
              <w:pStyle w:val="9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B6576C">
            <w:pPr>
              <w:pStyle w:val="9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8949C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8" w:hRule="exac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B098EF3">
            <w:pPr>
              <w:pStyle w:val="9"/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BDAEAC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5A94F82">
            <w:pPr>
              <w:pStyle w:val="9"/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E6CFFAE">
            <w:pPr>
              <w:pStyle w:val="9"/>
              <w:spacing w:after="2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4B146A">
            <w:pPr>
              <w:pStyle w:val="9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DB76E9E">
            <w:pPr>
              <w:pStyle w:val="9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1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F74312">
            <w:pPr>
              <w:pStyle w:val="9"/>
              <w:rPr>
                <w:rFonts w:ascii="仿宋" w:hAnsi="仿宋" w:eastAsia="仿宋"/>
                <w:sz w:val="24"/>
              </w:rPr>
            </w:pPr>
          </w:p>
        </w:tc>
      </w:tr>
      <w:tr w14:paraId="6D20FF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E9E24B2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学历学位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A403648">
            <w:pPr>
              <w:pStyle w:val="9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全日制教育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AD9B7E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6A4DB87">
            <w:pPr>
              <w:pStyle w:val="9"/>
              <w:rPr>
                <w:rFonts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毕业院校系及专业</w:t>
            </w:r>
          </w:p>
        </w:tc>
        <w:tc>
          <w:tcPr>
            <w:tcW w:w="35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576ABF3">
            <w:pPr>
              <w:rPr>
                <w:rFonts w:ascii="仿宋" w:hAnsi="仿宋" w:eastAsia="仿宋"/>
                <w:sz w:val="24"/>
              </w:rPr>
            </w:pPr>
          </w:p>
        </w:tc>
      </w:tr>
      <w:tr w14:paraId="3E184C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8" w:hRule="exac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74E6BF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522529F">
            <w:pPr>
              <w:pStyle w:val="9"/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在职</w:t>
            </w:r>
          </w:p>
          <w:p w14:paraId="5A167328">
            <w:pPr>
              <w:pStyle w:val="9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2EDBBE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CB35006">
            <w:pPr>
              <w:pStyle w:val="9"/>
              <w:rPr>
                <w:rFonts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毕业院校系及专业</w:t>
            </w:r>
          </w:p>
        </w:tc>
        <w:tc>
          <w:tcPr>
            <w:tcW w:w="35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7A37350">
            <w:pPr>
              <w:rPr>
                <w:rFonts w:ascii="仿宋" w:hAnsi="仿宋" w:eastAsia="仿宋"/>
                <w:sz w:val="24"/>
              </w:rPr>
            </w:pPr>
          </w:p>
        </w:tc>
      </w:tr>
      <w:tr w14:paraId="63C781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6560C7F">
            <w:pPr>
              <w:pStyle w:val="9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报考单位及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3AE1449">
            <w:pPr>
              <w:rPr>
                <w:rFonts w:ascii="仿宋" w:hAnsi="仿宋" w:eastAsia="仿宋"/>
                <w:sz w:val="24"/>
              </w:rPr>
            </w:pPr>
          </w:p>
        </w:tc>
      </w:tr>
      <w:tr w14:paraId="14759E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31075EF">
            <w:pPr>
              <w:pStyle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9F71E17">
            <w:pPr>
              <w:rPr>
                <w:rFonts w:ascii="仿宋" w:hAnsi="仿宋" w:eastAsia="仿宋"/>
                <w:sz w:val="24"/>
              </w:rPr>
            </w:pPr>
          </w:p>
        </w:tc>
      </w:tr>
      <w:tr w14:paraId="310650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exact"/>
          <w:jc w:val="center"/>
        </w:trPr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6A4BE73">
            <w:pPr>
              <w:pStyle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3678B12">
            <w:pPr>
              <w:rPr>
                <w:rFonts w:ascii="仿宋" w:hAnsi="仿宋" w:eastAsia="仿宋"/>
                <w:sz w:val="24"/>
              </w:rPr>
            </w:pPr>
          </w:p>
        </w:tc>
      </w:tr>
      <w:tr w14:paraId="603A0D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C5147D">
            <w:pPr>
              <w:pStyle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4F7F0BF">
            <w:pPr>
              <w:rPr>
                <w:rFonts w:ascii="仿宋" w:hAnsi="仿宋" w:eastAsia="仿宋"/>
                <w:sz w:val="24"/>
              </w:rPr>
            </w:pPr>
          </w:p>
        </w:tc>
      </w:tr>
      <w:tr w14:paraId="0CF68F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4" w:hRule="exac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7B4BF7">
            <w:pPr>
              <w:pStyle w:val="10"/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82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9876698">
            <w:pPr>
              <w:rPr>
                <w:rFonts w:ascii="仿宋" w:hAnsi="仿宋" w:eastAsia="仿宋"/>
                <w:sz w:val="24"/>
              </w:rPr>
            </w:pPr>
          </w:p>
          <w:p w14:paraId="76CA15DA">
            <w:pPr>
              <w:rPr>
                <w:rFonts w:ascii="仿宋" w:hAnsi="仿宋" w:eastAsia="仿宋" w:cs="Times New Roman"/>
                <w:color w:val="000000"/>
                <w:sz w:val="24"/>
                <w:lang w:eastAsia="en-US" w:bidi="en-US"/>
              </w:rPr>
            </w:pPr>
          </w:p>
          <w:p w14:paraId="194C6644">
            <w:pPr>
              <w:rPr>
                <w:rFonts w:ascii="仿宋" w:hAnsi="仿宋" w:eastAsia="仿宋"/>
                <w:sz w:val="24"/>
                <w:lang w:eastAsia="en-US"/>
              </w:rPr>
            </w:pPr>
          </w:p>
          <w:p w14:paraId="3B979000">
            <w:pPr>
              <w:tabs>
                <w:tab w:val="left" w:pos="1260"/>
              </w:tabs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F49B4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89" w:hRule="exac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78BB32D">
            <w:pPr>
              <w:pStyle w:val="9"/>
              <w:spacing w:line="341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个人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825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347626">
            <w:pPr>
              <w:pStyle w:val="9"/>
              <w:spacing w:after="340"/>
              <w:jc w:val="both"/>
              <w:rPr>
                <w:rFonts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1.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本人承诺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自愿选聘到村级任职，保证本人相关信息真实；2.本人将按照规定的时间及时前往相应服务地报道，并服从岗位分配，除不可抗力外，不以荣获理由拖延；3.服务期间，本人将自觉遵守国家法律和</w:t>
            </w:r>
            <w:r>
              <w:rPr>
                <w:rFonts w:hint="eastAsia" w:ascii="仿宋" w:hAnsi="仿宋" w:eastAsia="仿宋" w:cs="微软雅黑"/>
                <w:color w:val="000000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那坡县村级扶贫专干管理考核办法</w:t>
            </w:r>
            <w:r>
              <w:rPr>
                <w:rFonts w:hint="eastAsia" w:ascii="仿宋" w:hAnsi="仿宋" w:eastAsia="仿宋" w:cs="微软雅黑"/>
                <w:color w:val="000000"/>
                <w:sz w:val="24"/>
                <w:szCs w:val="24"/>
                <w:lang w:val="en-US" w:eastAsia="zh-CN"/>
              </w:rPr>
              <w:t>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的管理规定，爱岗敬业，尽职尽责。</w:t>
            </w:r>
          </w:p>
          <w:p w14:paraId="5545D010">
            <w:pPr>
              <w:pStyle w:val="9"/>
              <w:ind w:firstLine="5400" w:firstLineChars="225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本人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签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名：</w:t>
            </w:r>
          </w:p>
        </w:tc>
      </w:tr>
      <w:tr w14:paraId="07B892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6" w:hRule="exac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566831A">
            <w:pPr>
              <w:pStyle w:val="9"/>
              <w:spacing w:line="353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组织人事 部门审查 意见</w:t>
            </w:r>
          </w:p>
        </w:tc>
        <w:tc>
          <w:tcPr>
            <w:tcW w:w="8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752F11">
            <w:pPr>
              <w:rPr>
                <w:rFonts w:ascii="仿宋" w:hAnsi="仿宋" w:eastAsia="仿宋"/>
                <w:sz w:val="24"/>
              </w:rPr>
            </w:pPr>
          </w:p>
        </w:tc>
      </w:tr>
    </w:tbl>
    <w:p w14:paraId="54286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B6B5D"/>
    <w:multiLevelType w:val="singleLevel"/>
    <w:tmpl w:val="82FB6B5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202B38C"/>
    <w:multiLevelType w:val="singleLevel"/>
    <w:tmpl w:val="F202B38C"/>
    <w:lvl w:ilvl="0" w:tentative="0">
      <w:start w:val="3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2">
    <w:nsid w:val="48A95ACD"/>
    <w:multiLevelType w:val="singleLevel"/>
    <w:tmpl w:val="48A95AC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0271D63"/>
    <w:multiLevelType w:val="singleLevel"/>
    <w:tmpl w:val="70271D63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84ABF"/>
    <w:rsid w:val="044151D5"/>
    <w:rsid w:val="0AF14A1D"/>
    <w:rsid w:val="0E90727D"/>
    <w:rsid w:val="12826B19"/>
    <w:rsid w:val="15361979"/>
    <w:rsid w:val="164910F7"/>
    <w:rsid w:val="17F32E7F"/>
    <w:rsid w:val="180B6484"/>
    <w:rsid w:val="19DF45AE"/>
    <w:rsid w:val="1CD04A6B"/>
    <w:rsid w:val="1FF153A2"/>
    <w:rsid w:val="22687724"/>
    <w:rsid w:val="2B0C509B"/>
    <w:rsid w:val="2BE05A47"/>
    <w:rsid w:val="32C3015E"/>
    <w:rsid w:val="36714484"/>
    <w:rsid w:val="37ED6DBA"/>
    <w:rsid w:val="38646B44"/>
    <w:rsid w:val="3BB66191"/>
    <w:rsid w:val="3C116EEB"/>
    <w:rsid w:val="40ED3B1D"/>
    <w:rsid w:val="43406392"/>
    <w:rsid w:val="441C3114"/>
    <w:rsid w:val="47C604A1"/>
    <w:rsid w:val="492E59C5"/>
    <w:rsid w:val="4B2F02E6"/>
    <w:rsid w:val="59087A14"/>
    <w:rsid w:val="59C0587B"/>
    <w:rsid w:val="5CEE3D6F"/>
    <w:rsid w:val="5FF20391"/>
    <w:rsid w:val="635532A4"/>
    <w:rsid w:val="64D83EE5"/>
    <w:rsid w:val="69175D71"/>
    <w:rsid w:val="6AD05D55"/>
    <w:rsid w:val="6B83239B"/>
    <w:rsid w:val="6E1D5768"/>
    <w:rsid w:val="6EC756FC"/>
    <w:rsid w:val="7028399E"/>
    <w:rsid w:val="718666EE"/>
    <w:rsid w:val="76AB5992"/>
    <w:rsid w:val="7BFE52F9"/>
    <w:rsid w:val="7DB72528"/>
    <w:rsid w:val="7DDB7C45"/>
    <w:rsid w:val="7EFF0D25"/>
    <w:rsid w:val="7FED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Body text|1"/>
    <w:basedOn w:val="1"/>
    <w:autoRedefine/>
    <w:qFormat/>
    <w:uiPriority w:val="0"/>
    <w:pPr>
      <w:spacing w:line="298" w:lineRule="auto"/>
      <w:jc w:val="center"/>
    </w:pPr>
    <w:rPr>
      <w:rFonts w:ascii="宋体" w:hAnsi="宋体" w:eastAsia="宋体" w:cs="宋体"/>
      <w:sz w:val="44"/>
      <w:szCs w:val="44"/>
      <w:shd w:val="clear" w:color="auto" w:fill="FFFFFF"/>
      <w:lang w:val="zh-TW" w:eastAsia="zh-TW" w:bidi="zh-TW"/>
    </w:rPr>
  </w:style>
  <w:style w:type="paragraph" w:customStyle="1" w:styleId="8">
    <w:name w:val="Body text|2"/>
    <w:basedOn w:val="1"/>
    <w:qFormat/>
    <w:uiPriority w:val="0"/>
    <w:pPr>
      <w:spacing w:line="523" w:lineRule="exact"/>
      <w:ind w:left="622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jc w:val="center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0">
    <w:name w:val="Other|2"/>
    <w:basedOn w:val="1"/>
    <w:autoRedefine/>
    <w:qFormat/>
    <w:uiPriority w:val="0"/>
    <w:pPr>
      <w:spacing w:before="440"/>
      <w:jc w:val="center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1781</Words>
  <Characters>1879</Characters>
  <Lines>0</Lines>
  <Paragraphs>0</Paragraphs>
  <TotalTime>3</TotalTime>
  <ScaleCrop>false</ScaleCrop>
  <LinksUpToDate>false</LinksUpToDate>
  <CharactersWithSpaces>1961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</dc:creator>
  <cp:lastModifiedBy>。。</cp:lastModifiedBy>
  <cp:lastPrinted>2025-04-10T13:32:00Z</cp:lastPrinted>
  <dcterms:modified xsi:type="dcterms:W3CDTF">2025-04-11T07:51:17Z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DF1180DB954B4526A0772A477215C56C_13</vt:lpwstr>
  </property>
  <property fmtid="{D5CDD505-2E9C-101B-9397-08002B2CF9AE}" pid="4" name="KSOTemplateDocerSaveRecord">
    <vt:lpwstr>eyJoZGlkIjoiOGUwOTJmYTNiYTY3ZGIyMTJkYWUyZmMxYjYzNGE3MTciLCJ1c2VySWQiOiI2ODY4NTY4ODMifQ==</vt:lpwstr>
  </property>
</Properties>
</file>