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1C0FA">
      <w:pPr>
        <w:pStyle w:val="6"/>
        <w:keepNext w:val="0"/>
        <w:keepLines w:val="0"/>
        <w:pageBreakBefore w:val="0"/>
        <w:widowControl/>
        <w:kinsoku/>
        <w:wordWrap/>
        <w:overflowPunct/>
        <w:topLinePunct w:val="0"/>
        <w:autoSpaceDE/>
        <w:autoSpaceDN/>
        <w:bidi w:val="0"/>
        <w:adjustRightInd/>
        <w:snapToGrid/>
        <w:spacing w:line="480" w:lineRule="exact"/>
        <w:ind w:left="0" w:leftChars="0" w:firstLine="0" w:firstLineChars="0"/>
        <w:textAlignment w:val="baseline"/>
        <w:rPr>
          <w:rFonts w:hint="eastAsia" w:ascii="Times New Roman" w:hAnsi="Times New Roman" w:eastAsia="方正黑体_GBK" w:cs="方正黑体_GBK"/>
          <w:b w:val="0"/>
          <w:i w:val="0"/>
          <w:caps w:val="0"/>
          <w:spacing w:val="0"/>
          <w:w w:val="100"/>
          <w:sz w:val="32"/>
          <w:szCs w:val="32"/>
          <w:lang w:val="en-US" w:eastAsia="zh-CN"/>
        </w:rPr>
      </w:pPr>
      <w:bookmarkStart w:id="0" w:name="_GoBack"/>
      <w:bookmarkEnd w:id="0"/>
      <w:r>
        <w:rPr>
          <w:rFonts w:hint="eastAsia" w:ascii="Times New Roman" w:hAnsi="Times New Roman" w:eastAsia="方正黑体_GBK" w:cs="方正黑体_GBK"/>
          <w:b w:val="0"/>
          <w:i w:val="0"/>
          <w:caps w:val="0"/>
          <w:spacing w:val="0"/>
          <w:w w:val="100"/>
          <w:sz w:val="32"/>
          <w:szCs w:val="32"/>
          <w:lang w:eastAsia="zh-CN"/>
        </w:rPr>
        <w:t>附件</w:t>
      </w:r>
      <w:r>
        <w:rPr>
          <w:rFonts w:hint="eastAsia" w:ascii="Times New Roman" w:hAnsi="Times New Roman" w:eastAsia="方正黑体_GBK" w:cs="方正黑体_GBK"/>
          <w:b w:val="0"/>
          <w:i w:val="0"/>
          <w:caps w:val="0"/>
          <w:spacing w:val="0"/>
          <w:w w:val="100"/>
          <w:sz w:val="32"/>
          <w:szCs w:val="32"/>
          <w:lang w:val="en-US" w:eastAsia="zh-CN"/>
        </w:rPr>
        <w:t>1</w:t>
      </w:r>
    </w:p>
    <w:p w14:paraId="4B28A9D5">
      <w:pPr>
        <w:pStyle w:val="6"/>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baseline"/>
        <w:rPr>
          <w:rStyle w:val="5"/>
          <w:rFonts w:hint="eastAsia" w:ascii="Times New Roman" w:hAnsi="Times New Roman" w:eastAsia="方正小标宋简体" w:cs="方正小标宋简体"/>
          <w:b w:val="0"/>
          <w:i w:val="0"/>
          <w:caps w:val="0"/>
          <w:spacing w:val="0"/>
          <w:w w:val="100"/>
          <w:kern w:val="2"/>
          <w:sz w:val="44"/>
          <w:szCs w:val="44"/>
          <w:lang w:val="en-US" w:eastAsia="zh-CN" w:bidi="ar-SA"/>
        </w:rPr>
      </w:pPr>
      <w:r>
        <w:rPr>
          <w:rStyle w:val="5"/>
          <w:rFonts w:hint="eastAsia" w:ascii="Times New Roman" w:hAnsi="Times New Roman" w:eastAsia="方正小标宋简体" w:cs="方正小标宋简体"/>
          <w:b w:val="0"/>
          <w:i w:val="0"/>
          <w:caps w:val="0"/>
          <w:spacing w:val="0"/>
          <w:w w:val="100"/>
          <w:kern w:val="2"/>
          <w:sz w:val="44"/>
          <w:szCs w:val="44"/>
          <w:lang w:val="en-US" w:eastAsia="zh-CN" w:bidi="ar-SA"/>
        </w:rPr>
        <w:t>鄂尔多斯市委政策研究室所属事业单位引进高层次人才和</w:t>
      </w:r>
    </w:p>
    <w:p w14:paraId="71D217EE">
      <w:pPr>
        <w:pStyle w:val="6"/>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baseline"/>
        <w:rPr>
          <w:rStyle w:val="5"/>
          <w:rFonts w:hint="eastAsia" w:ascii="Times New Roman" w:hAnsi="Times New Roman" w:eastAsia="方正小标宋简体" w:cs="方正小标宋简体"/>
          <w:b w:val="0"/>
          <w:i w:val="0"/>
          <w:caps w:val="0"/>
          <w:spacing w:val="0"/>
          <w:w w:val="100"/>
          <w:kern w:val="2"/>
          <w:sz w:val="44"/>
          <w:szCs w:val="44"/>
          <w:lang w:val="en-US" w:eastAsia="zh-CN" w:bidi="ar-SA"/>
        </w:rPr>
      </w:pPr>
      <w:r>
        <w:rPr>
          <w:rStyle w:val="5"/>
          <w:rFonts w:hint="eastAsia" w:ascii="Times New Roman" w:hAnsi="Times New Roman" w:eastAsia="方正小标宋简体" w:cs="方正小标宋简体"/>
          <w:b w:val="0"/>
          <w:i w:val="0"/>
          <w:caps w:val="0"/>
          <w:spacing w:val="0"/>
          <w:w w:val="100"/>
          <w:kern w:val="2"/>
          <w:sz w:val="44"/>
          <w:szCs w:val="44"/>
          <w:lang w:val="en-US" w:eastAsia="zh-CN" w:bidi="ar-SA"/>
        </w:rPr>
        <w:t>紧缺专业人才岗位表</w:t>
      </w:r>
    </w:p>
    <w:tbl>
      <w:tblPr>
        <w:tblStyle w:val="3"/>
        <w:tblpPr w:leftFromText="180" w:rightFromText="180" w:vertAnchor="text" w:horzAnchor="page" w:tblpXSpec="center" w:tblpY="138"/>
        <w:tblOverlap w:val="never"/>
        <w:tblW w:w="13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817"/>
        <w:gridCol w:w="1163"/>
        <w:gridCol w:w="649"/>
        <w:gridCol w:w="1358"/>
        <w:gridCol w:w="641"/>
        <w:gridCol w:w="1273"/>
        <w:gridCol w:w="1883"/>
        <w:gridCol w:w="2791"/>
        <w:gridCol w:w="957"/>
        <w:gridCol w:w="1464"/>
      </w:tblGrid>
      <w:tr w14:paraId="63C2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17" w:type="dxa"/>
            <w:vMerge w:val="restart"/>
            <w:noWrap w:val="0"/>
            <w:tcMar>
              <w:top w:w="15" w:type="dxa"/>
              <w:left w:w="15" w:type="dxa"/>
              <w:right w:w="15" w:type="dxa"/>
            </w:tcMar>
            <w:vAlign w:val="center"/>
          </w:tcPr>
          <w:p w14:paraId="0E25D0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主管单位</w:t>
            </w:r>
          </w:p>
        </w:tc>
        <w:tc>
          <w:tcPr>
            <w:tcW w:w="817" w:type="dxa"/>
            <w:vMerge w:val="restart"/>
            <w:noWrap w:val="0"/>
            <w:tcMar>
              <w:top w:w="15" w:type="dxa"/>
              <w:left w:w="15" w:type="dxa"/>
              <w:right w:w="15" w:type="dxa"/>
            </w:tcMar>
            <w:vAlign w:val="center"/>
          </w:tcPr>
          <w:p w14:paraId="42C0C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用人</w:t>
            </w:r>
            <w:r>
              <w:rPr>
                <w:rFonts w:hint="eastAsia" w:ascii="Times New Roman" w:hAnsi="Times New Roman" w:eastAsia="黑体" w:cs="黑体"/>
                <w:i w:val="0"/>
                <w:color w:val="000000"/>
                <w:kern w:val="0"/>
                <w:sz w:val="30"/>
                <w:szCs w:val="30"/>
                <w:u w:val="none"/>
                <w:lang w:val="en-US" w:eastAsia="zh-CN" w:bidi="ar"/>
              </w:rPr>
              <w:br w:type="textWrapping"/>
            </w:r>
            <w:r>
              <w:rPr>
                <w:rFonts w:hint="eastAsia" w:ascii="Times New Roman" w:hAnsi="Times New Roman" w:eastAsia="黑体" w:cs="黑体"/>
                <w:i w:val="0"/>
                <w:color w:val="000000"/>
                <w:kern w:val="0"/>
                <w:sz w:val="30"/>
                <w:szCs w:val="30"/>
                <w:u w:val="none"/>
                <w:lang w:val="en-US" w:eastAsia="zh-CN" w:bidi="ar"/>
              </w:rPr>
              <w:t>单位</w:t>
            </w:r>
          </w:p>
        </w:tc>
        <w:tc>
          <w:tcPr>
            <w:tcW w:w="1163" w:type="dxa"/>
            <w:vMerge w:val="restart"/>
            <w:noWrap w:val="0"/>
            <w:tcMar>
              <w:top w:w="15" w:type="dxa"/>
              <w:left w:w="15" w:type="dxa"/>
              <w:right w:w="15" w:type="dxa"/>
            </w:tcMar>
            <w:vAlign w:val="center"/>
          </w:tcPr>
          <w:p w14:paraId="1AE06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sz w:val="30"/>
                <w:szCs w:val="30"/>
                <w:lang w:eastAsia="zh-CN"/>
              </w:rPr>
            </w:pPr>
            <w:r>
              <w:rPr>
                <w:rFonts w:hint="eastAsia" w:ascii="Times New Roman" w:hAnsi="Times New Roman" w:eastAsia="黑体" w:cs="黑体"/>
                <w:sz w:val="30"/>
                <w:szCs w:val="30"/>
                <w:lang w:eastAsia="zh-CN"/>
              </w:rPr>
              <w:t>单位</w:t>
            </w:r>
          </w:p>
          <w:p w14:paraId="11F9AC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sz w:val="30"/>
                <w:szCs w:val="30"/>
                <w:lang w:eastAsia="zh-CN"/>
              </w:rPr>
            </w:pPr>
            <w:r>
              <w:rPr>
                <w:rFonts w:hint="eastAsia" w:ascii="Times New Roman" w:hAnsi="Times New Roman" w:eastAsia="黑体" w:cs="黑体"/>
                <w:sz w:val="30"/>
                <w:szCs w:val="30"/>
                <w:lang w:eastAsia="zh-CN"/>
              </w:rPr>
              <w:t>简介</w:t>
            </w:r>
          </w:p>
        </w:tc>
        <w:tc>
          <w:tcPr>
            <w:tcW w:w="649" w:type="dxa"/>
            <w:vMerge w:val="restart"/>
            <w:noWrap w:val="0"/>
            <w:tcMar>
              <w:top w:w="15" w:type="dxa"/>
              <w:left w:w="15" w:type="dxa"/>
              <w:right w:w="15" w:type="dxa"/>
            </w:tcMar>
            <w:vAlign w:val="center"/>
          </w:tcPr>
          <w:p w14:paraId="2C913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sz w:val="30"/>
                <w:szCs w:val="30"/>
                <w:lang w:eastAsia="zh-CN"/>
              </w:rPr>
            </w:pPr>
            <w:r>
              <w:rPr>
                <w:rFonts w:hint="eastAsia" w:ascii="Times New Roman" w:hAnsi="Times New Roman" w:eastAsia="黑体" w:cs="黑体"/>
                <w:sz w:val="30"/>
                <w:szCs w:val="30"/>
                <w:lang w:eastAsia="zh-CN"/>
              </w:rPr>
              <w:t>引进</w:t>
            </w:r>
          </w:p>
          <w:p w14:paraId="395B3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sz w:val="30"/>
                <w:szCs w:val="30"/>
              </w:rPr>
              <w:t>岗位</w:t>
            </w:r>
          </w:p>
        </w:tc>
        <w:tc>
          <w:tcPr>
            <w:tcW w:w="1358" w:type="dxa"/>
            <w:vMerge w:val="restart"/>
            <w:noWrap w:val="0"/>
            <w:tcMar>
              <w:top w:w="15" w:type="dxa"/>
              <w:left w:w="15" w:type="dxa"/>
              <w:right w:w="15" w:type="dxa"/>
            </w:tcMar>
            <w:vAlign w:val="center"/>
          </w:tcPr>
          <w:p w14:paraId="368EA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sz w:val="30"/>
                <w:szCs w:val="30"/>
                <w:lang w:eastAsia="zh-CN"/>
              </w:rPr>
            </w:pPr>
            <w:r>
              <w:rPr>
                <w:rFonts w:hint="eastAsia" w:ascii="Times New Roman" w:hAnsi="Times New Roman" w:eastAsia="黑体" w:cs="黑体"/>
                <w:sz w:val="30"/>
                <w:szCs w:val="30"/>
                <w:lang w:eastAsia="zh-CN"/>
              </w:rPr>
              <w:t>岗位</w:t>
            </w:r>
          </w:p>
          <w:p w14:paraId="4AE72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sz w:val="30"/>
                <w:szCs w:val="30"/>
                <w:lang w:eastAsia="zh-CN"/>
              </w:rPr>
            </w:pPr>
            <w:r>
              <w:rPr>
                <w:rFonts w:hint="eastAsia" w:ascii="Times New Roman" w:hAnsi="Times New Roman" w:eastAsia="黑体" w:cs="黑体"/>
                <w:sz w:val="30"/>
                <w:szCs w:val="30"/>
                <w:lang w:eastAsia="zh-CN"/>
              </w:rPr>
              <w:t>职责</w:t>
            </w:r>
          </w:p>
        </w:tc>
        <w:tc>
          <w:tcPr>
            <w:tcW w:w="6588" w:type="dxa"/>
            <w:gridSpan w:val="4"/>
            <w:noWrap w:val="0"/>
            <w:tcMar>
              <w:top w:w="15" w:type="dxa"/>
              <w:left w:w="15" w:type="dxa"/>
              <w:right w:w="15" w:type="dxa"/>
            </w:tcMar>
            <w:vAlign w:val="center"/>
          </w:tcPr>
          <w:p w14:paraId="74443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资格条件</w:t>
            </w:r>
          </w:p>
        </w:tc>
        <w:tc>
          <w:tcPr>
            <w:tcW w:w="957" w:type="dxa"/>
            <w:vMerge w:val="restart"/>
            <w:noWrap w:val="0"/>
            <w:tcMar>
              <w:top w:w="15" w:type="dxa"/>
              <w:left w:w="15" w:type="dxa"/>
              <w:right w:w="15" w:type="dxa"/>
            </w:tcMar>
            <w:vAlign w:val="center"/>
          </w:tcPr>
          <w:p w14:paraId="27A1F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联系人</w:t>
            </w:r>
          </w:p>
        </w:tc>
        <w:tc>
          <w:tcPr>
            <w:tcW w:w="1464" w:type="dxa"/>
            <w:vMerge w:val="restart"/>
            <w:noWrap w:val="0"/>
            <w:tcMar>
              <w:top w:w="15" w:type="dxa"/>
              <w:left w:w="15" w:type="dxa"/>
              <w:right w:w="15" w:type="dxa"/>
            </w:tcMar>
            <w:vAlign w:val="center"/>
          </w:tcPr>
          <w:p w14:paraId="0B70B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联系电话</w:t>
            </w:r>
          </w:p>
        </w:tc>
      </w:tr>
      <w:tr w14:paraId="5C66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17" w:type="dxa"/>
            <w:vMerge w:val="continue"/>
            <w:noWrap w:val="0"/>
            <w:tcMar>
              <w:top w:w="15" w:type="dxa"/>
              <w:left w:w="15" w:type="dxa"/>
              <w:right w:w="15" w:type="dxa"/>
            </w:tcMar>
            <w:vAlign w:val="center"/>
          </w:tcPr>
          <w:p w14:paraId="5D70022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黑体" w:cs="黑体"/>
                <w:i w:val="0"/>
                <w:color w:val="000000"/>
                <w:sz w:val="30"/>
                <w:szCs w:val="30"/>
                <w:u w:val="none"/>
              </w:rPr>
            </w:pPr>
          </w:p>
        </w:tc>
        <w:tc>
          <w:tcPr>
            <w:tcW w:w="817" w:type="dxa"/>
            <w:vMerge w:val="continue"/>
            <w:noWrap w:val="0"/>
            <w:tcMar>
              <w:top w:w="15" w:type="dxa"/>
              <w:left w:w="15" w:type="dxa"/>
              <w:right w:w="15" w:type="dxa"/>
            </w:tcMar>
            <w:vAlign w:val="center"/>
          </w:tcPr>
          <w:p w14:paraId="4A8ECAD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黑体" w:cs="黑体"/>
                <w:i w:val="0"/>
                <w:color w:val="000000"/>
                <w:sz w:val="30"/>
                <w:szCs w:val="30"/>
                <w:u w:val="none"/>
              </w:rPr>
            </w:pPr>
          </w:p>
        </w:tc>
        <w:tc>
          <w:tcPr>
            <w:tcW w:w="1163" w:type="dxa"/>
            <w:vMerge w:val="continue"/>
            <w:noWrap w:val="0"/>
            <w:tcMar>
              <w:top w:w="15" w:type="dxa"/>
              <w:left w:w="15" w:type="dxa"/>
              <w:right w:w="15" w:type="dxa"/>
            </w:tcMar>
            <w:vAlign w:val="center"/>
          </w:tcPr>
          <w:p w14:paraId="5F584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p>
        </w:tc>
        <w:tc>
          <w:tcPr>
            <w:tcW w:w="649" w:type="dxa"/>
            <w:vMerge w:val="continue"/>
            <w:noWrap w:val="0"/>
            <w:tcMar>
              <w:top w:w="15" w:type="dxa"/>
              <w:left w:w="15" w:type="dxa"/>
              <w:right w:w="15" w:type="dxa"/>
            </w:tcMar>
            <w:vAlign w:val="center"/>
          </w:tcPr>
          <w:p w14:paraId="453FFC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p>
        </w:tc>
        <w:tc>
          <w:tcPr>
            <w:tcW w:w="1358" w:type="dxa"/>
            <w:vMerge w:val="continue"/>
            <w:noWrap w:val="0"/>
            <w:tcMar>
              <w:top w:w="15" w:type="dxa"/>
              <w:left w:w="15" w:type="dxa"/>
              <w:right w:w="15" w:type="dxa"/>
            </w:tcMar>
            <w:vAlign w:val="center"/>
          </w:tcPr>
          <w:p w14:paraId="6E320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p>
        </w:tc>
        <w:tc>
          <w:tcPr>
            <w:tcW w:w="641" w:type="dxa"/>
            <w:noWrap w:val="0"/>
            <w:tcMar>
              <w:top w:w="15" w:type="dxa"/>
              <w:left w:w="15" w:type="dxa"/>
              <w:right w:w="15" w:type="dxa"/>
            </w:tcMar>
            <w:vAlign w:val="center"/>
          </w:tcPr>
          <w:p w14:paraId="611B2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引进</w:t>
            </w:r>
          </w:p>
          <w:p w14:paraId="7B6B7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2"/>
                <w:sz w:val="30"/>
                <w:szCs w:val="30"/>
                <w:u w:val="none"/>
                <w:lang w:val="en-US" w:eastAsia="zh-CN" w:bidi="ar-SA"/>
              </w:rPr>
            </w:pPr>
            <w:r>
              <w:rPr>
                <w:rFonts w:hint="eastAsia" w:ascii="Times New Roman" w:hAnsi="Times New Roman" w:eastAsia="黑体" w:cs="黑体"/>
                <w:i w:val="0"/>
                <w:color w:val="000000"/>
                <w:kern w:val="0"/>
                <w:sz w:val="30"/>
                <w:szCs w:val="30"/>
                <w:u w:val="none"/>
                <w:lang w:val="en-US" w:eastAsia="zh-CN" w:bidi="ar"/>
              </w:rPr>
              <w:t>人数</w:t>
            </w:r>
          </w:p>
        </w:tc>
        <w:tc>
          <w:tcPr>
            <w:tcW w:w="1273" w:type="dxa"/>
            <w:noWrap w:val="0"/>
            <w:tcMar>
              <w:top w:w="15" w:type="dxa"/>
              <w:left w:w="15" w:type="dxa"/>
              <w:right w:w="15" w:type="dxa"/>
            </w:tcMar>
            <w:vAlign w:val="center"/>
          </w:tcPr>
          <w:p w14:paraId="58476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学历</w:t>
            </w:r>
          </w:p>
          <w:p w14:paraId="49022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学位</w:t>
            </w:r>
          </w:p>
        </w:tc>
        <w:tc>
          <w:tcPr>
            <w:tcW w:w="1883" w:type="dxa"/>
            <w:noWrap w:val="0"/>
            <w:tcMar>
              <w:top w:w="15" w:type="dxa"/>
              <w:left w:w="15" w:type="dxa"/>
              <w:right w:w="15" w:type="dxa"/>
            </w:tcMar>
            <w:vAlign w:val="center"/>
          </w:tcPr>
          <w:p w14:paraId="43E9A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r>
              <w:rPr>
                <w:rFonts w:hint="eastAsia" w:ascii="Times New Roman" w:hAnsi="Times New Roman" w:eastAsia="黑体" w:cs="黑体"/>
                <w:i w:val="0"/>
                <w:color w:val="000000"/>
                <w:kern w:val="0"/>
                <w:sz w:val="30"/>
                <w:szCs w:val="30"/>
                <w:u w:val="none"/>
                <w:lang w:val="en-US" w:eastAsia="zh-CN" w:bidi="ar"/>
              </w:rPr>
              <w:t>所需专业</w:t>
            </w:r>
          </w:p>
          <w:p w14:paraId="7D91D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sz w:val="30"/>
                <w:szCs w:val="30"/>
                <w:u w:val="none"/>
              </w:rPr>
            </w:pPr>
            <w:r>
              <w:rPr>
                <w:rFonts w:hint="eastAsia" w:ascii="Times New Roman" w:hAnsi="Times New Roman" w:eastAsia="黑体" w:cs="黑体"/>
                <w:i w:val="0"/>
                <w:color w:val="000000"/>
                <w:kern w:val="0"/>
                <w:sz w:val="30"/>
                <w:szCs w:val="30"/>
                <w:u w:val="none"/>
                <w:lang w:val="en-US" w:eastAsia="zh-CN" w:bidi="ar"/>
              </w:rPr>
              <w:t>名称</w:t>
            </w:r>
          </w:p>
        </w:tc>
        <w:tc>
          <w:tcPr>
            <w:tcW w:w="2791" w:type="dxa"/>
            <w:noWrap w:val="0"/>
            <w:tcMar>
              <w:top w:w="15" w:type="dxa"/>
              <w:left w:w="15" w:type="dxa"/>
              <w:right w:w="15" w:type="dxa"/>
            </w:tcMar>
            <w:vAlign w:val="center"/>
          </w:tcPr>
          <w:p w14:paraId="3683D0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sz w:val="30"/>
                <w:szCs w:val="30"/>
                <w:u w:val="none"/>
              </w:rPr>
            </w:pPr>
            <w:r>
              <w:rPr>
                <w:rFonts w:hint="eastAsia" w:ascii="Times New Roman" w:hAnsi="Times New Roman" w:eastAsia="黑体" w:cs="黑体"/>
                <w:i w:val="0"/>
                <w:color w:val="000000"/>
                <w:kern w:val="0"/>
                <w:sz w:val="30"/>
                <w:szCs w:val="30"/>
                <w:u w:val="none"/>
                <w:lang w:val="en-US" w:eastAsia="zh-CN" w:bidi="ar"/>
              </w:rPr>
              <w:t>其他要求</w:t>
            </w:r>
          </w:p>
        </w:tc>
        <w:tc>
          <w:tcPr>
            <w:tcW w:w="957" w:type="dxa"/>
            <w:vMerge w:val="continue"/>
            <w:noWrap w:val="0"/>
            <w:tcMar>
              <w:top w:w="15" w:type="dxa"/>
              <w:left w:w="15" w:type="dxa"/>
              <w:right w:w="15" w:type="dxa"/>
            </w:tcMar>
            <w:vAlign w:val="center"/>
          </w:tcPr>
          <w:p w14:paraId="744CB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p>
        </w:tc>
        <w:tc>
          <w:tcPr>
            <w:tcW w:w="1464" w:type="dxa"/>
            <w:vMerge w:val="continue"/>
            <w:noWrap w:val="0"/>
            <w:tcMar>
              <w:top w:w="15" w:type="dxa"/>
              <w:left w:w="15" w:type="dxa"/>
              <w:right w:w="15" w:type="dxa"/>
            </w:tcMar>
            <w:vAlign w:val="center"/>
          </w:tcPr>
          <w:p w14:paraId="659C8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color w:val="000000"/>
                <w:kern w:val="0"/>
                <w:sz w:val="30"/>
                <w:szCs w:val="30"/>
                <w:u w:val="none"/>
                <w:lang w:val="en-US" w:eastAsia="zh-CN" w:bidi="ar"/>
              </w:rPr>
            </w:pPr>
          </w:p>
        </w:tc>
      </w:tr>
      <w:tr w14:paraId="2D32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4" w:hRule="atLeast"/>
          <w:jc w:val="center"/>
        </w:trPr>
        <w:tc>
          <w:tcPr>
            <w:tcW w:w="817" w:type="dxa"/>
            <w:vMerge w:val="restart"/>
            <w:noWrap w:val="0"/>
            <w:tcMar>
              <w:top w:w="15" w:type="dxa"/>
              <w:left w:w="15" w:type="dxa"/>
              <w:right w:w="15" w:type="dxa"/>
            </w:tcMar>
            <w:vAlign w:val="center"/>
          </w:tcPr>
          <w:p w14:paraId="66865DC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鄂尔多斯市委政研室</w:t>
            </w:r>
          </w:p>
        </w:tc>
        <w:tc>
          <w:tcPr>
            <w:tcW w:w="817" w:type="dxa"/>
            <w:vMerge w:val="restart"/>
            <w:noWrap w:val="0"/>
            <w:tcMar>
              <w:top w:w="15" w:type="dxa"/>
              <w:left w:w="15" w:type="dxa"/>
              <w:right w:w="15" w:type="dxa"/>
            </w:tcMar>
            <w:vAlign w:val="center"/>
          </w:tcPr>
          <w:p w14:paraId="388BECC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鄂尔多斯市改革研究中心</w:t>
            </w:r>
          </w:p>
        </w:tc>
        <w:tc>
          <w:tcPr>
            <w:tcW w:w="1163" w:type="dxa"/>
            <w:vMerge w:val="restart"/>
            <w:noWrap w:val="0"/>
            <w:tcMar>
              <w:top w:w="15" w:type="dxa"/>
              <w:left w:w="15" w:type="dxa"/>
              <w:right w:w="15" w:type="dxa"/>
            </w:tcMar>
            <w:vAlign w:val="center"/>
          </w:tcPr>
          <w:p w14:paraId="25184F0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鄂尔多斯市改革研究中心是鄂尔多斯市委政研室所属公益一类事业单位，主要承担全市综合性政策研究、决策咨询服务和重大课题研究等工作。</w:t>
            </w:r>
          </w:p>
        </w:tc>
        <w:tc>
          <w:tcPr>
            <w:tcW w:w="649" w:type="dxa"/>
            <w:noWrap w:val="0"/>
            <w:tcMar>
              <w:top w:w="15" w:type="dxa"/>
              <w:left w:w="15" w:type="dxa"/>
              <w:right w:w="15" w:type="dxa"/>
            </w:tcMar>
            <w:vAlign w:val="center"/>
          </w:tcPr>
          <w:p w14:paraId="3F1E527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综合研究岗1</w:t>
            </w:r>
          </w:p>
        </w:tc>
        <w:tc>
          <w:tcPr>
            <w:tcW w:w="1358" w:type="dxa"/>
            <w:noWrap w:val="0"/>
            <w:tcMar>
              <w:top w:w="15" w:type="dxa"/>
              <w:left w:w="15" w:type="dxa"/>
              <w:right w:w="15" w:type="dxa"/>
            </w:tcMar>
            <w:vAlign w:val="center"/>
          </w:tcPr>
          <w:p w14:paraId="16B0A5A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运用数学思维和数学模型开展数据综合分析和研究预测等工作。</w:t>
            </w:r>
          </w:p>
        </w:tc>
        <w:tc>
          <w:tcPr>
            <w:tcW w:w="641" w:type="dxa"/>
            <w:noWrap w:val="0"/>
            <w:tcMar>
              <w:top w:w="15" w:type="dxa"/>
              <w:left w:w="15" w:type="dxa"/>
              <w:right w:w="15" w:type="dxa"/>
            </w:tcMar>
            <w:vAlign w:val="center"/>
          </w:tcPr>
          <w:p w14:paraId="417BF60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1人</w:t>
            </w:r>
          </w:p>
        </w:tc>
        <w:tc>
          <w:tcPr>
            <w:tcW w:w="1273" w:type="dxa"/>
            <w:noWrap w:val="0"/>
            <w:tcMar>
              <w:top w:w="15" w:type="dxa"/>
              <w:left w:w="15" w:type="dxa"/>
              <w:right w:w="15" w:type="dxa"/>
            </w:tcMar>
            <w:vAlign w:val="center"/>
          </w:tcPr>
          <w:p w14:paraId="2B87F889">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Chars="0"/>
              <w:jc w:val="both"/>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取得国民教育序列</w:t>
            </w:r>
            <w:r>
              <w:rPr>
                <w:rFonts w:hint="eastAsia" w:ascii="Times New Roman" w:hAnsi="Times New Roman" w:eastAsia="仿宋_GB2312" w:cs="仿宋_GB2312"/>
                <w:sz w:val="24"/>
                <w:szCs w:val="24"/>
                <w:lang w:eastAsia="zh-CN"/>
              </w:rPr>
              <w:t>博</w:t>
            </w:r>
            <w:r>
              <w:rPr>
                <w:rFonts w:hint="eastAsia" w:ascii="Times New Roman" w:hAnsi="Times New Roman" w:eastAsia="仿宋_GB2312" w:cs="仿宋_GB2312"/>
                <w:sz w:val="24"/>
                <w:szCs w:val="24"/>
              </w:rPr>
              <w:t>士研究生学历、学位。</w:t>
            </w:r>
          </w:p>
        </w:tc>
        <w:tc>
          <w:tcPr>
            <w:tcW w:w="1883" w:type="dxa"/>
            <w:noWrap w:val="0"/>
            <w:tcMar>
              <w:top w:w="15" w:type="dxa"/>
              <w:left w:w="15" w:type="dxa"/>
              <w:right w:w="15" w:type="dxa"/>
            </w:tcMar>
            <w:vAlign w:val="center"/>
          </w:tcPr>
          <w:p w14:paraId="1D3E0D7E">
            <w:pPr>
              <w:pStyle w:val="6"/>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计算数学（070102）、</w:t>
            </w:r>
          </w:p>
          <w:p w14:paraId="327A53D1">
            <w:pPr>
              <w:pStyle w:val="6"/>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概率论与数理统计（070103）、应用数学（070104）、</w:t>
            </w:r>
          </w:p>
          <w:p w14:paraId="4074424F">
            <w:pPr>
              <w:pStyle w:val="6"/>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Times New Roman" w:hAnsi="Times New Roman" w:eastAsia="汉仪书宋二S" w:cs="汉仪书宋二S"/>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运筹学与控制论（070105）</w:t>
            </w:r>
          </w:p>
        </w:tc>
        <w:tc>
          <w:tcPr>
            <w:tcW w:w="2791" w:type="dxa"/>
            <w:noWrap w:val="0"/>
            <w:tcMar>
              <w:top w:w="15" w:type="dxa"/>
              <w:left w:w="15" w:type="dxa"/>
              <w:right w:w="15" w:type="dxa"/>
            </w:tcMar>
            <w:vAlign w:val="center"/>
          </w:tcPr>
          <w:p w14:paraId="41E1AD6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应届毕业生须于2025年</w:t>
            </w:r>
            <w:r>
              <w:rPr>
                <w:rFonts w:hint="eastAsia"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lang w:val="en-US" w:eastAsia="zh-CN"/>
              </w:rPr>
              <w:t>月31日前取得相应学历学位证书；</w:t>
            </w:r>
          </w:p>
          <w:p w14:paraId="491E1F4E">
            <w:pPr>
              <w:pStyle w:val="6"/>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2.截至引才公告发布之日，年龄不超过3</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周岁（含3</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周岁）；</w:t>
            </w:r>
          </w:p>
          <w:p w14:paraId="2AC6B7D1">
            <w:pPr>
              <w:pStyle w:val="6"/>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Times New Roman" w:hAnsi="Times New Roman"/>
                <w:sz w:val="24"/>
                <w:szCs w:val="24"/>
                <w:lang w:val="en-US" w:eastAsia="zh-CN"/>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.须为中共党员（含预备党员）</w:t>
            </w:r>
            <w:r>
              <w:rPr>
                <w:rFonts w:hint="eastAsia" w:ascii="Times New Roman" w:hAnsi="Times New Roman" w:eastAsia="仿宋_GB2312" w:cs="Times New Roman"/>
                <w:sz w:val="24"/>
                <w:szCs w:val="24"/>
                <w:lang w:val="en-US" w:eastAsia="zh-CN"/>
              </w:rPr>
              <w:t>。</w:t>
            </w:r>
          </w:p>
        </w:tc>
        <w:tc>
          <w:tcPr>
            <w:tcW w:w="957" w:type="dxa"/>
            <w:vMerge w:val="restart"/>
            <w:noWrap w:val="0"/>
            <w:tcMar>
              <w:top w:w="15" w:type="dxa"/>
              <w:left w:w="15" w:type="dxa"/>
              <w:right w:w="15" w:type="dxa"/>
            </w:tcMar>
            <w:vAlign w:val="center"/>
          </w:tcPr>
          <w:p w14:paraId="7811865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val="en-US" w:eastAsia="zh-CN" w:bidi="ar"/>
              </w:rPr>
              <w:t xml:space="preserve">杜  </w:t>
            </w:r>
            <w:r>
              <w:rPr>
                <w:rFonts w:hint="eastAsia" w:ascii="仿宋_GB2312" w:hAnsi="仿宋_GB2312" w:eastAsia="仿宋_GB2312" w:cs="仿宋_GB2312"/>
                <w:color w:val="auto"/>
                <w:kern w:val="2"/>
                <w:sz w:val="24"/>
                <w:szCs w:val="24"/>
                <w:u w:val="none"/>
                <w:lang w:val="en-US" w:eastAsia="zh-CN" w:bidi="ar-SA"/>
              </w:rPr>
              <w:t>宇</w:t>
            </w:r>
          </w:p>
          <w:p w14:paraId="58F10768">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color w:val="000000"/>
                <w:kern w:val="0"/>
                <w:sz w:val="24"/>
                <w:szCs w:val="24"/>
                <w:u w:val="none"/>
                <w:lang w:val="en-US" w:eastAsia="zh-CN" w:bidi="ar"/>
              </w:rPr>
            </w:pPr>
            <w:r>
              <w:rPr>
                <w:rFonts w:hint="eastAsia" w:ascii="仿宋_GB2312" w:hAnsi="仿宋_GB2312" w:eastAsia="仿宋_GB2312" w:cs="仿宋_GB2312"/>
                <w:color w:val="auto"/>
                <w:kern w:val="2"/>
                <w:sz w:val="24"/>
                <w:szCs w:val="24"/>
                <w:u w:val="none"/>
                <w:lang w:val="en-US" w:eastAsia="zh-CN" w:bidi="ar-SA"/>
              </w:rPr>
              <w:t>王公</w:t>
            </w:r>
            <w:r>
              <w:rPr>
                <w:rFonts w:hint="eastAsia" w:ascii="仿宋_GB2312" w:hAnsi="仿宋_GB2312" w:eastAsia="仿宋_GB2312" w:cs="仿宋_GB2312"/>
                <w:color w:val="000000"/>
                <w:kern w:val="0"/>
                <w:sz w:val="24"/>
                <w:szCs w:val="24"/>
                <w:u w:val="none"/>
                <w:lang w:val="en-US" w:eastAsia="zh-CN" w:bidi="ar"/>
              </w:rPr>
              <w:t>博</w:t>
            </w:r>
          </w:p>
        </w:tc>
        <w:tc>
          <w:tcPr>
            <w:tcW w:w="1464" w:type="dxa"/>
            <w:vMerge w:val="restart"/>
            <w:noWrap w:val="0"/>
            <w:tcMar>
              <w:top w:w="15" w:type="dxa"/>
              <w:left w:w="15" w:type="dxa"/>
              <w:right w:w="15" w:type="dxa"/>
            </w:tcMar>
            <w:vAlign w:val="center"/>
          </w:tcPr>
          <w:p w14:paraId="3D8D0A9B">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center"/>
              <w:rPr>
                <w:rFonts w:hint="eastAsia" w:ascii="Times New Roman" w:hAnsi="Times New Roman" w:eastAsia="黑体" w:cs="黑体"/>
                <w:color w:val="000000"/>
                <w:kern w:val="0"/>
                <w:sz w:val="24"/>
                <w:szCs w:val="24"/>
                <w:u w:val="none"/>
                <w:lang w:val="en-US" w:eastAsia="zh-CN" w:bidi="ar"/>
              </w:rPr>
            </w:pPr>
            <w:r>
              <w:rPr>
                <w:rFonts w:hint="eastAsia" w:ascii="Times New Roman" w:hAnsi="Times New Roman" w:eastAsia="黑体" w:cs="黑体"/>
                <w:color w:val="000000"/>
                <w:kern w:val="0"/>
                <w:sz w:val="24"/>
                <w:szCs w:val="24"/>
                <w:u w:val="none"/>
                <w:lang w:val="en-US" w:eastAsia="zh-CN" w:bidi="ar"/>
              </w:rPr>
              <w:t>0477-8169061</w:t>
            </w:r>
          </w:p>
          <w:p w14:paraId="4AFD94DC">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center"/>
              <w:rPr>
                <w:rFonts w:hint="default" w:ascii="Times New Roman" w:hAnsi="Times New Roman" w:eastAsia="黑体" w:cs="黑体"/>
                <w:color w:val="000000"/>
                <w:kern w:val="0"/>
                <w:sz w:val="24"/>
                <w:szCs w:val="24"/>
                <w:u w:val="none"/>
                <w:lang w:val="en-US" w:eastAsia="zh-CN" w:bidi="ar"/>
              </w:rPr>
            </w:pPr>
            <w:r>
              <w:rPr>
                <w:rFonts w:hint="eastAsia" w:ascii="Times New Roman" w:hAnsi="Times New Roman" w:eastAsia="黑体" w:cs="黑体"/>
                <w:color w:val="000000"/>
                <w:kern w:val="0"/>
                <w:sz w:val="24"/>
                <w:szCs w:val="24"/>
                <w:u w:val="none"/>
                <w:lang w:val="en-US" w:eastAsia="zh-CN" w:bidi="ar"/>
              </w:rPr>
              <w:t>0477-8169072</w:t>
            </w:r>
          </w:p>
        </w:tc>
      </w:tr>
      <w:tr w14:paraId="078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9" w:hRule="atLeast"/>
          <w:jc w:val="center"/>
        </w:trPr>
        <w:tc>
          <w:tcPr>
            <w:tcW w:w="817" w:type="dxa"/>
            <w:vMerge w:val="continue"/>
            <w:noWrap w:val="0"/>
            <w:tcMar>
              <w:top w:w="15" w:type="dxa"/>
              <w:left w:w="15" w:type="dxa"/>
              <w:right w:w="15" w:type="dxa"/>
            </w:tcMar>
            <w:vAlign w:val="center"/>
          </w:tcPr>
          <w:p w14:paraId="2FA4EA4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pPr>
          </w:p>
        </w:tc>
        <w:tc>
          <w:tcPr>
            <w:tcW w:w="817" w:type="dxa"/>
            <w:vMerge w:val="continue"/>
            <w:noWrap w:val="0"/>
            <w:tcMar>
              <w:top w:w="15" w:type="dxa"/>
              <w:left w:w="15" w:type="dxa"/>
              <w:right w:w="15" w:type="dxa"/>
            </w:tcMar>
            <w:vAlign w:val="center"/>
          </w:tcPr>
          <w:p w14:paraId="287F2D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pPr>
          </w:p>
        </w:tc>
        <w:tc>
          <w:tcPr>
            <w:tcW w:w="1163" w:type="dxa"/>
            <w:vMerge w:val="continue"/>
            <w:noWrap w:val="0"/>
            <w:tcMar>
              <w:top w:w="15" w:type="dxa"/>
              <w:left w:w="15" w:type="dxa"/>
              <w:right w:w="15" w:type="dxa"/>
            </w:tcMar>
            <w:vAlign w:val="center"/>
          </w:tcPr>
          <w:p w14:paraId="464D7C1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pPr>
          </w:p>
        </w:tc>
        <w:tc>
          <w:tcPr>
            <w:tcW w:w="649" w:type="dxa"/>
            <w:noWrap w:val="0"/>
            <w:tcMar>
              <w:top w:w="15" w:type="dxa"/>
              <w:left w:w="15" w:type="dxa"/>
              <w:right w:w="15" w:type="dxa"/>
            </w:tcMar>
            <w:vAlign w:val="center"/>
          </w:tcPr>
          <w:p w14:paraId="3EF604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lang w:val="en-US"/>
              </w:rPr>
            </w:pPr>
            <w:r>
              <w:rPr>
                <w:rFonts w:hint="eastAsia" w:ascii="Times New Roman" w:hAnsi="Times New Roman" w:eastAsia="仿宋_GB2312" w:cs="仿宋_GB2312"/>
                <w:sz w:val="24"/>
                <w:szCs w:val="24"/>
                <w:lang w:val="en-US" w:eastAsia="zh-CN"/>
              </w:rPr>
              <w:t>综合研究岗2</w:t>
            </w:r>
          </w:p>
        </w:tc>
        <w:tc>
          <w:tcPr>
            <w:tcW w:w="1358" w:type="dxa"/>
            <w:noWrap w:val="0"/>
            <w:tcMar>
              <w:top w:w="15" w:type="dxa"/>
              <w:left w:w="15" w:type="dxa"/>
              <w:right w:w="15" w:type="dxa"/>
            </w:tcMar>
            <w:vAlign w:val="center"/>
          </w:tcPr>
          <w:p w14:paraId="038926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pPr>
            <w:r>
              <w:rPr>
                <w:rFonts w:hint="eastAsia" w:ascii="Times New Roman" w:hAnsi="Times New Roman" w:eastAsia="仿宋_GB2312" w:cs="仿宋_GB2312"/>
                <w:sz w:val="24"/>
                <w:szCs w:val="24"/>
                <w:lang w:val="en-US" w:eastAsia="zh-CN"/>
              </w:rPr>
              <w:t>围绕新能源装备制造、现代煤化工等产业，开展综合性政策研究、前瞻性课题研究等工作。</w:t>
            </w:r>
          </w:p>
        </w:tc>
        <w:tc>
          <w:tcPr>
            <w:tcW w:w="641" w:type="dxa"/>
            <w:noWrap w:val="0"/>
            <w:tcMar>
              <w:top w:w="15" w:type="dxa"/>
              <w:left w:w="15" w:type="dxa"/>
              <w:right w:w="15" w:type="dxa"/>
            </w:tcMar>
            <w:vAlign w:val="center"/>
          </w:tcPr>
          <w:p w14:paraId="78FE61B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1人</w:t>
            </w:r>
          </w:p>
        </w:tc>
        <w:tc>
          <w:tcPr>
            <w:tcW w:w="1273" w:type="dxa"/>
            <w:noWrap w:val="0"/>
            <w:tcMar>
              <w:top w:w="15" w:type="dxa"/>
              <w:left w:w="15" w:type="dxa"/>
              <w:right w:w="15" w:type="dxa"/>
            </w:tcMar>
            <w:vAlign w:val="center"/>
          </w:tcPr>
          <w:p w14:paraId="23011D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取得国民教育序列</w:t>
            </w:r>
            <w:r>
              <w:rPr>
                <w:rFonts w:hint="eastAsia" w:ascii="Times New Roman" w:hAnsi="Times New Roman" w:eastAsia="仿宋_GB2312" w:cs="仿宋_GB2312"/>
                <w:sz w:val="24"/>
                <w:szCs w:val="24"/>
                <w:lang w:eastAsia="zh-CN"/>
              </w:rPr>
              <w:t>博</w:t>
            </w:r>
            <w:r>
              <w:rPr>
                <w:rFonts w:hint="eastAsia" w:ascii="Times New Roman" w:hAnsi="Times New Roman" w:eastAsia="仿宋_GB2312" w:cs="仿宋_GB2312"/>
                <w:sz w:val="24"/>
                <w:szCs w:val="24"/>
              </w:rPr>
              <w:t>士研究生学历、学位。</w:t>
            </w:r>
          </w:p>
        </w:tc>
        <w:tc>
          <w:tcPr>
            <w:tcW w:w="1883" w:type="dxa"/>
            <w:noWrap w:val="0"/>
            <w:tcMar>
              <w:top w:w="15" w:type="dxa"/>
              <w:left w:w="15" w:type="dxa"/>
              <w:right w:w="15" w:type="dxa"/>
            </w:tcMar>
            <w:vAlign w:val="center"/>
          </w:tcPr>
          <w:p w14:paraId="33CA38E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无机化学（070301）、</w:t>
            </w:r>
          </w:p>
          <w:p w14:paraId="436FE1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分析化学（070302）、</w:t>
            </w:r>
          </w:p>
          <w:p w14:paraId="7A6A76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有机化学（070303）、</w:t>
            </w:r>
          </w:p>
          <w:p w14:paraId="1413E14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kern w:val="2"/>
                <w:sz w:val="24"/>
                <w:szCs w:val="24"/>
                <w:lang w:val="en-US" w:eastAsia="zh-CN" w:bidi="ar-SA"/>
              </w:rPr>
              <w:t>高分子化学与物理（070305）、</w:t>
            </w:r>
            <w:r>
              <w:rPr>
                <w:rFonts w:hint="eastAsia" w:ascii="Times New Roman" w:hAnsi="Times New Roman" w:eastAsia="仿宋_GB2312" w:cs="Times New Roman"/>
                <w:sz w:val="24"/>
              </w:rPr>
              <w:t>材料物理与化</w:t>
            </w:r>
            <w:r>
              <w:rPr>
                <w:rFonts w:hint="eastAsia" w:ascii="Times New Roman" w:hAnsi="Times New Roman" w:eastAsia="仿宋_GB2312" w:cs="Times New Roman"/>
                <w:sz w:val="24"/>
                <w:szCs w:val="24"/>
                <w:lang w:eastAsia="zh-CN"/>
              </w:rPr>
              <w:t>学</w:t>
            </w:r>
            <w:r>
              <w:rPr>
                <w:rFonts w:hint="eastAsia" w:ascii="Times New Roman" w:hAnsi="Times New Roman" w:eastAsia="仿宋_GB2312" w:cs="Times New Roman"/>
                <w:sz w:val="24"/>
              </w:rPr>
              <w:t>（080501）</w:t>
            </w:r>
            <w:r>
              <w:rPr>
                <w:rFonts w:hint="eastAsia" w:ascii="Times New Roman" w:hAnsi="Times New Roman" w:eastAsia="仿宋_GB2312" w:cs="Times New Roman"/>
                <w:sz w:val="24"/>
                <w:szCs w:val="24"/>
                <w:lang w:eastAsia="zh-CN"/>
              </w:rPr>
              <w:t>、</w:t>
            </w:r>
          </w:p>
          <w:p w14:paraId="644C585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材料学（080502）</w:t>
            </w:r>
            <w:r>
              <w:rPr>
                <w:rFonts w:hint="eastAsia" w:ascii="Times New Roman" w:hAnsi="Times New Roman" w:eastAsia="仿宋_GB2312" w:cs="Times New Roman"/>
                <w:sz w:val="24"/>
                <w:lang w:eastAsia="zh-CN"/>
              </w:rPr>
              <w:t>、</w:t>
            </w:r>
          </w:p>
          <w:p w14:paraId="359876B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材料加工工程（</w:t>
            </w:r>
            <w:r>
              <w:rPr>
                <w:rFonts w:hint="eastAsia" w:ascii="Times New Roman" w:hAnsi="Times New Roman" w:eastAsia="仿宋_GB2312" w:cs="Times New Roman"/>
                <w:sz w:val="24"/>
                <w:lang w:val="en-US" w:eastAsia="zh-CN"/>
              </w:rPr>
              <w:t>080503</w:t>
            </w:r>
            <w:r>
              <w:rPr>
                <w:rFonts w:hint="eastAsia" w:ascii="Times New Roman" w:hAnsi="Times New Roman" w:eastAsia="仿宋_GB2312" w:cs="Times New Roman"/>
                <w:sz w:val="24"/>
                <w:lang w:eastAsia="zh-CN"/>
              </w:rPr>
              <w:t>）、</w:t>
            </w:r>
          </w:p>
          <w:p w14:paraId="17DDD42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材料工程（</w:t>
            </w:r>
            <w:r>
              <w:rPr>
                <w:rFonts w:hint="eastAsia" w:ascii="Times New Roman" w:hAnsi="Times New Roman" w:eastAsia="仿宋_GB2312" w:cs="Times New Roman"/>
                <w:sz w:val="24"/>
                <w:lang w:val="en-US" w:eastAsia="zh-CN"/>
              </w:rPr>
              <w:t>085601</w:t>
            </w:r>
            <w:r>
              <w:rPr>
                <w:rFonts w:hint="eastAsia" w:ascii="Times New Roman" w:hAnsi="Times New Roman" w:eastAsia="仿宋_GB2312" w:cs="Times New Roman"/>
                <w:sz w:val="24"/>
                <w:lang w:eastAsia="zh-CN"/>
              </w:rPr>
              <w:t>）、</w:t>
            </w:r>
          </w:p>
          <w:p w14:paraId="47173FA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化学工程（</w:t>
            </w:r>
            <w:r>
              <w:rPr>
                <w:rFonts w:hint="eastAsia" w:ascii="Times New Roman" w:hAnsi="Times New Roman" w:eastAsia="仿宋_GB2312" w:cs="Times New Roman"/>
                <w:sz w:val="24"/>
                <w:lang w:val="en-US" w:eastAsia="zh-CN"/>
              </w:rPr>
              <w:t>081701、085602</w:t>
            </w:r>
            <w:r>
              <w:rPr>
                <w:rFonts w:hint="eastAsia" w:ascii="Times New Roman" w:hAnsi="Times New Roman" w:eastAsia="仿宋_GB2312" w:cs="Times New Roman"/>
                <w:sz w:val="24"/>
                <w:lang w:eastAsia="zh-CN"/>
              </w:rPr>
              <w:t>）、</w:t>
            </w:r>
          </w:p>
          <w:p w14:paraId="4176CF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Times New Roman"/>
                <w:sz w:val="24"/>
                <w:lang w:eastAsia="zh-CN"/>
              </w:rPr>
              <w:t>应用化学（</w:t>
            </w:r>
            <w:r>
              <w:rPr>
                <w:rFonts w:hint="eastAsia" w:ascii="Times New Roman" w:hAnsi="Times New Roman" w:eastAsia="仿宋_GB2312" w:cs="Times New Roman"/>
                <w:sz w:val="24"/>
                <w:lang w:val="en-US" w:eastAsia="zh-CN"/>
              </w:rPr>
              <w:t>081704</w:t>
            </w:r>
            <w:r>
              <w:rPr>
                <w:rFonts w:hint="eastAsia" w:ascii="Times New Roman" w:hAnsi="Times New Roman" w:eastAsia="仿宋_GB2312" w:cs="Times New Roman"/>
                <w:sz w:val="24"/>
                <w:lang w:eastAsia="zh-CN"/>
              </w:rPr>
              <w:t>）</w:t>
            </w:r>
          </w:p>
        </w:tc>
        <w:tc>
          <w:tcPr>
            <w:tcW w:w="2791" w:type="dxa"/>
            <w:noWrap w:val="0"/>
            <w:tcMar>
              <w:top w:w="15" w:type="dxa"/>
              <w:left w:w="15" w:type="dxa"/>
              <w:right w:w="15" w:type="dxa"/>
            </w:tcMar>
            <w:vAlign w:val="center"/>
          </w:tcPr>
          <w:p w14:paraId="7938DA46">
            <w:pPr>
              <w:pStyle w:val="6"/>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0"/>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应届毕业生须于2025年</w:t>
            </w:r>
            <w:r>
              <w:rPr>
                <w:rFonts w:hint="eastAsia"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lang w:val="en-US" w:eastAsia="zh-CN"/>
              </w:rPr>
              <w:t>月31日前取得相应学历学位证书；</w:t>
            </w:r>
          </w:p>
          <w:p w14:paraId="1014C3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2.截至引才公告发布之日，年龄不超过3</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周岁（含3</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周岁）；</w:t>
            </w:r>
          </w:p>
          <w:p w14:paraId="18E610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.须为中共党员（含预备党员）</w:t>
            </w:r>
            <w:r>
              <w:rPr>
                <w:rFonts w:hint="eastAsia" w:ascii="Times New Roman" w:hAnsi="Times New Roman" w:eastAsia="仿宋_GB2312" w:cs="Times New Roman"/>
                <w:sz w:val="24"/>
                <w:szCs w:val="24"/>
                <w:lang w:val="en-US" w:eastAsia="zh-CN"/>
              </w:rPr>
              <w:t>。</w:t>
            </w:r>
          </w:p>
        </w:tc>
        <w:tc>
          <w:tcPr>
            <w:tcW w:w="957" w:type="dxa"/>
            <w:vMerge w:val="continue"/>
            <w:noWrap w:val="0"/>
            <w:tcMar>
              <w:top w:w="15" w:type="dxa"/>
              <w:left w:w="15" w:type="dxa"/>
              <w:right w:w="15" w:type="dxa"/>
            </w:tcMar>
            <w:vAlign w:val="center"/>
          </w:tcPr>
          <w:p w14:paraId="1C10DC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黑体" w:cs="黑体"/>
                <w:color w:val="000000"/>
                <w:kern w:val="0"/>
                <w:sz w:val="30"/>
                <w:szCs w:val="30"/>
                <w:u w:val="none"/>
                <w:lang w:val="en-US" w:eastAsia="zh-CN" w:bidi="ar"/>
              </w:rPr>
            </w:pPr>
          </w:p>
        </w:tc>
        <w:tc>
          <w:tcPr>
            <w:tcW w:w="1464" w:type="dxa"/>
            <w:vMerge w:val="continue"/>
            <w:noWrap w:val="0"/>
            <w:tcMar>
              <w:top w:w="15" w:type="dxa"/>
              <w:left w:w="15" w:type="dxa"/>
              <w:right w:w="15" w:type="dxa"/>
            </w:tcMar>
            <w:vAlign w:val="center"/>
          </w:tcPr>
          <w:p w14:paraId="6A1818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黑体" w:cs="黑体"/>
                <w:color w:val="000000"/>
                <w:kern w:val="0"/>
                <w:sz w:val="30"/>
                <w:szCs w:val="30"/>
                <w:u w:val="none"/>
                <w:lang w:val="en-US" w:eastAsia="zh-CN" w:bidi="ar"/>
              </w:rPr>
            </w:pPr>
          </w:p>
        </w:tc>
      </w:tr>
    </w:tbl>
    <w:p w14:paraId="57FBB78C">
      <w:pPr>
        <w:pStyle w:val="6"/>
        <w:ind w:left="0" w:leftChars="0" w:firstLine="0" w:firstLineChars="0"/>
        <w:rPr>
          <w:rStyle w:val="5"/>
          <w:rFonts w:hint="default" w:ascii="Times New Roman" w:hAnsi="Times New Roman" w:eastAsia="方正小标宋简体" w:cs="方正小标宋简体"/>
          <w:b w:val="0"/>
          <w:i w:val="0"/>
          <w:caps w:val="0"/>
          <w:spacing w:val="0"/>
          <w:w w:val="100"/>
          <w:kern w:val="2"/>
          <w:sz w:val="36"/>
          <w:szCs w:val="36"/>
          <w:lang w:val="en-US" w:eastAsia="zh-CN" w:bidi="ar-SA"/>
        </w:rPr>
        <w:sectPr>
          <w:footerReference r:id="rId3" w:type="default"/>
          <w:pgSz w:w="16838" w:h="11906" w:orient="landscape"/>
          <w:pgMar w:top="1587" w:right="2098" w:bottom="659" w:left="1984" w:header="851" w:footer="397" w:gutter="0"/>
          <w:lnNumType w:countBy="0"/>
          <w:pgNumType w:fmt="decimal"/>
          <w:cols w:space="720" w:num="1"/>
          <w:rtlGutter w:val="0"/>
          <w:docGrid w:type="lines" w:linePitch="312" w:charSpace="0"/>
        </w:sectPr>
      </w:pPr>
    </w:p>
    <w:p w14:paraId="5B0D90B3"/>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E208">
    <w:pPr>
      <w:pStyle w:val="2"/>
      <w:widowControl/>
      <w:snapToGrid w:val="0"/>
      <w:jc w:val="left"/>
      <w:textAlignment w:val="baseline"/>
      <w:rPr>
        <w:rStyle w:val="5"/>
        <w:kern w:val="2"/>
        <w:sz w:val="18"/>
        <w:szCs w:val="24"/>
        <w:lang w:val="en-US" w:eastAsia="zh-CN" w:bidi="ar-SA"/>
      </w:rPr>
    </w:pPr>
    <w:r>
      <w:rPr>
        <w:rStyle w:val="5"/>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3D5C1E">
                          <w:pPr>
                            <w:pStyle w:val="2"/>
                            <w:widowControl/>
                            <w:snapToGrid w:val="0"/>
                            <w:jc w:val="left"/>
                            <w:textAlignment w:val="baseline"/>
                            <w:rPr>
                              <w:rStyle w:val="5"/>
                              <w:kern w:val="2"/>
                              <w:sz w:val="18"/>
                              <w:szCs w:val="24"/>
                              <w:lang w:val="en-US" w:eastAsia="zh-CN" w:bidi="ar-SA"/>
                            </w:rPr>
                          </w:pPr>
                        </w:p>
                        <w:p w14:paraId="6B4D4BAE">
                          <w:pPr>
                            <w:jc w:val="both"/>
                            <w:textAlignment w:val="baseline"/>
                            <w:rPr>
                              <w:rStyle w:val="5"/>
                              <w:kern w:val="2"/>
                              <w:sz w:val="21"/>
                              <w:szCs w:val="24"/>
                              <w:lang w:val="en-US" w:eastAsia="zh-CN" w:bidi="ar-SA"/>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Zi6+0QAAAAUBAAAPAAAAAAAA&#10;AAEAIAAAACIAAABkcnMvZG93bnJldi54bWxQSwECFAAUAAAACACHTuJAMeS05OABAAC9AwAADgAA&#10;AAAAAAABACAAAAAgAQAAZHJzL2Uyb0RvYy54bWxQSwUGAAAAAAYABgBZAQAAcgUAAAAA&#10;">
              <v:fill on="f" focussize="0,0"/>
              <v:stroke on="f" weight="0.5pt"/>
              <v:imagedata o:title=""/>
              <o:lock v:ext="edit" aspectratio="f"/>
              <v:textbox inset="0mm,0mm,0mm,0mm">
                <w:txbxContent>
                  <w:p w14:paraId="583D5C1E">
                    <w:pPr>
                      <w:pStyle w:val="2"/>
                      <w:widowControl/>
                      <w:snapToGrid w:val="0"/>
                      <w:jc w:val="left"/>
                      <w:textAlignment w:val="baseline"/>
                      <w:rPr>
                        <w:rStyle w:val="5"/>
                        <w:kern w:val="2"/>
                        <w:sz w:val="18"/>
                        <w:szCs w:val="24"/>
                        <w:lang w:val="en-US" w:eastAsia="zh-CN" w:bidi="ar-SA"/>
                      </w:rPr>
                    </w:pPr>
                  </w:p>
                  <w:p w14:paraId="6B4D4BAE">
                    <w:pPr>
                      <w:jc w:val="both"/>
                      <w:textAlignment w:val="baseline"/>
                      <w:rPr>
                        <w:rStyle w:val="5"/>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BDFDF8"/>
    <w:rsid w:val="51E8760E"/>
    <w:rsid w:val="97BDF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 w:type="paragraph" w:customStyle="1" w:styleId="6">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678</Characters>
  <Lines>0</Lines>
  <Paragraphs>0</Paragraphs>
  <TotalTime>2.33333333333333</TotalTime>
  <ScaleCrop>false</ScaleCrop>
  <LinksUpToDate>false</LinksUpToDate>
  <CharactersWithSpaces>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2025-04-10T10:34:00Z</dcterms:created>
  <dc:creator>admin</dc:creator>
  <cp:lastModifiedBy>梦凡☀️na</cp:lastModifiedBy>
  <dcterms:modified xsi:type="dcterms:W3CDTF">2025-04-10T02:53:52Z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4949F3F693EB47CFB05CEE59A62DFE5B_13</vt:lpwstr>
  </property>
</Properties>
</file>