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60957B">
      <w:pPr>
        <w:pStyle w:val="10"/>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both"/>
        <w:textAlignment w:val="auto"/>
        <w:rPr>
          <w:rFonts w:hint="eastAsia" w:ascii="Times New Roman" w:hAnsi="Times New Roman" w:eastAsia="方正小标宋简体" w:cs="Times New Roman"/>
          <w:b/>
          <w:bCs/>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Times New Roman" w:hAnsi="Times New Roman" w:eastAsia="仿宋_GB2312" w:cs="Times New Roman"/>
          <w:color w:val="000000" w:themeColor="text1"/>
          <w:kern w:val="0"/>
          <w:sz w:val="32"/>
          <w:szCs w:val="32"/>
          <w:highlight w:val="none"/>
          <w:lang w:val="en-US" w:eastAsia="zh-CN"/>
          <w14:textFill>
            <w14:solidFill>
              <w14:schemeClr w14:val="tx1"/>
            </w14:solidFill>
          </w14:textFill>
        </w:rPr>
        <w:t xml:space="preserve">附件1                  </w:t>
      </w:r>
      <w:r>
        <w:rPr>
          <w:rFonts w:hint="default" w:ascii="Times New Roman" w:hAnsi="Times New Roman" w:eastAsia="方正小标宋简体" w:cs="Times New Roman"/>
          <w:color w:val="000000" w:themeColor="text1"/>
          <w:sz w:val="32"/>
          <w:szCs w:val="32"/>
          <w:highlight w:val="none"/>
          <w:lang w:eastAsia="zh-CN"/>
          <w14:textFill>
            <w14:solidFill>
              <w14:schemeClr w14:val="tx1"/>
            </w14:solidFill>
          </w14:textFill>
        </w:rPr>
        <w:t>武义县教育系统赴安徽师范大学</w:t>
      </w:r>
      <w:r>
        <w:rPr>
          <w:rFonts w:hint="default" w:ascii="Times New Roman" w:hAnsi="Times New Roman" w:eastAsia="方正小标宋简体" w:cs="Times New Roman"/>
          <w:color w:val="000000" w:themeColor="text1"/>
          <w:sz w:val="32"/>
          <w:szCs w:val="32"/>
          <w:highlight w:val="none"/>
          <w14:textFill>
            <w14:solidFill>
              <w14:schemeClr w14:val="tx1"/>
            </w14:solidFill>
          </w14:textFill>
        </w:rPr>
        <w:t>招聘计划</w:t>
      </w:r>
    </w:p>
    <w:tbl>
      <w:tblPr>
        <w:tblStyle w:val="11"/>
        <w:tblW w:w="15337" w:type="dxa"/>
        <w:tblInd w:w="-78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84"/>
        <w:gridCol w:w="2061"/>
        <w:gridCol w:w="656"/>
        <w:gridCol w:w="690"/>
        <w:gridCol w:w="5771"/>
        <w:gridCol w:w="5475"/>
      </w:tblGrid>
      <w:tr w14:paraId="018C4E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3" w:hRule="atLeast"/>
        </w:trPr>
        <w:tc>
          <w:tcPr>
            <w:tcW w:w="684" w:type="dxa"/>
            <w:vMerge w:val="restart"/>
            <w:tcBorders>
              <w:tl2br w:val="nil"/>
              <w:tr2bl w:val="nil"/>
            </w:tcBorders>
            <w:noWrap/>
            <w:vAlign w:val="center"/>
          </w:tcPr>
          <w:p w14:paraId="726C9819">
            <w:pPr>
              <w:keepNext w:val="0"/>
              <w:keepLines w:val="0"/>
              <w:widowControl/>
              <w:suppressLineNumbers w:val="0"/>
              <w:jc w:val="center"/>
              <w:textAlignment w:val="center"/>
              <w:rPr>
                <w:rFonts w:hint="default"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t>招聘学段</w:t>
            </w:r>
          </w:p>
        </w:tc>
        <w:tc>
          <w:tcPr>
            <w:tcW w:w="2061" w:type="dxa"/>
            <w:vMerge w:val="restart"/>
            <w:tcBorders>
              <w:tl2br w:val="nil"/>
              <w:tr2bl w:val="nil"/>
            </w:tcBorders>
            <w:noWrap/>
            <w:vAlign w:val="center"/>
          </w:tcPr>
          <w:p w14:paraId="52C52CC0">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t>招聘学校</w:t>
            </w:r>
          </w:p>
        </w:tc>
        <w:tc>
          <w:tcPr>
            <w:tcW w:w="656" w:type="dxa"/>
            <w:vMerge w:val="restart"/>
            <w:tcBorders>
              <w:tl2br w:val="nil"/>
              <w:tr2bl w:val="nil"/>
            </w:tcBorders>
            <w:noWrap/>
            <w:vAlign w:val="center"/>
          </w:tcPr>
          <w:p w14:paraId="08E45304">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t>招聘学科</w:t>
            </w:r>
          </w:p>
        </w:tc>
        <w:tc>
          <w:tcPr>
            <w:tcW w:w="690" w:type="dxa"/>
            <w:vMerge w:val="restart"/>
            <w:tcBorders>
              <w:tl2br w:val="nil"/>
              <w:tr2bl w:val="nil"/>
            </w:tcBorders>
            <w:noWrap/>
            <w:vAlign w:val="center"/>
          </w:tcPr>
          <w:p w14:paraId="17829B68">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t>招聘计划</w:t>
            </w:r>
          </w:p>
        </w:tc>
        <w:tc>
          <w:tcPr>
            <w:tcW w:w="11246" w:type="dxa"/>
            <w:gridSpan w:val="2"/>
            <w:tcBorders>
              <w:tl2br w:val="nil"/>
              <w:tr2bl w:val="nil"/>
            </w:tcBorders>
            <w:noWrap/>
            <w:vAlign w:val="center"/>
          </w:tcPr>
          <w:p w14:paraId="0C525247">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t>招聘条件</w:t>
            </w:r>
          </w:p>
        </w:tc>
      </w:tr>
      <w:tr w14:paraId="57F5FD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9" w:hRule="atLeast"/>
        </w:trPr>
        <w:tc>
          <w:tcPr>
            <w:tcW w:w="684" w:type="dxa"/>
            <w:vMerge w:val="continue"/>
            <w:tcBorders>
              <w:tl2br w:val="nil"/>
              <w:tr2bl w:val="nil"/>
            </w:tcBorders>
            <w:noWrap/>
            <w:vAlign w:val="center"/>
          </w:tcPr>
          <w:p w14:paraId="124574B4">
            <w:pPr>
              <w:keepNext w:val="0"/>
              <w:keepLines w:val="0"/>
              <w:widowControl/>
              <w:suppressLineNumbers w:val="0"/>
              <w:jc w:val="center"/>
              <w:textAlignment w:val="center"/>
              <w:rPr>
                <w:rFonts w:hint="eastAsia" w:ascii="黑体" w:hAnsi="黑体" w:eastAsia="黑体" w:cs="黑体"/>
                <w:color w:val="000000" w:themeColor="text1"/>
                <w:highlight w:val="none"/>
                <w14:textFill>
                  <w14:solidFill>
                    <w14:schemeClr w14:val="tx1"/>
                  </w14:solidFill>
                </w14:textFill>
              </w:rPr>
            </w:pPr>
          </w:p>
        </w:tc>
        <w:tc>
          <w:tcPr>
            <w:tcW w:w="2061" w:type="dxa"/>
            <w:vMerge w:val="continue"/>
            <w:tcBorders>
              <w:tl2br w:val="nil"/>
              <w:tr2bl w:val="nil"/>
            </w:tcBorders>
            <w:noWrap/>
            <w:vAlign w:val="center"/>
          </w:tcPr>
          <w:p w14:paraId="2089D7BD">
            <w:pPr>
              <w:keepNext w:val="0"/>
              <w:keepLines w:val="0"/>
              <w:widowControl/>
              <w:suppressLineNumbers w:val="0"/>
              <w:jc w:val="center"/>
              <w:textAlignment w:val="center"/>
              <w:rPr>
                <w:rFonts w:hint="eastAsia" w:ascii="黑体" w:hAnsi="黑体" w:eastAsia="黑体" w:cs="黑体"/>
                <w:color w:val="000000" w:themeColor="text1"/>
                <w:highlight w:val="none"/>
                <w14:textFill>
                  <w14:solidFill>
                    <w14:schemeClr w14:val="tx1"/>
                  </w14:solidFill>
                </w14:textFill>
              </w:rPr>
            </w:pPr>
          </w:p>
        </w:tc>
        <w:tc>
          <w:tcPr>
            <w:tcW w:w="656" w:type="dxa"/>
            <w:vMerge w:val="continue"/>
            <w:tcBorders>
              <w:tl2br w:val="nil"/>
              <w:tr2bl w:val="nil"/>
            </w:tcBorders>
            <w:noWrap/>
            <w:vAlign w:val="center"/>
          </w:tcPr>
          <w:p w14:paraId="0C71D363">
            <w:pPr>
              <w:keepNext w:val="0"/>
              <w:keepLines w:val="0"/>
              <w:widowControl/>
              <w:suppressLineNumbers w:val="0"/>
              <w:jc w:val="center"/>
              <w:textAlignment w:val="center"/>
              <w:rPr>
                <w:rFonts w:hint="eastAsia" w:ascii="黑体" w:hAnsi="黑体" w:eastAsia="黑体" w:cs="黑体"/>
                <w:color w:val="000000" w:themeColor="text1"/>
                <w:highlight w:val="none"/>
                <w14:textFill>
                  <w14:solidFill>
                    <w14:schemeClr w14:val="tx1"/>
                  </w14:solidFill>
                </w14:textFill>
              </w:rPr>
            </w:pPr>
          </w:p>
        </w:tc>
        <w:tc>
          <w:tcPr>
            <w:tcW w:w="690" w:type="dxa"/>
            <w:vMerge w:val="continue"/>
            <w:tcBorders>
              <w:tl2br w:val="nil"/>
              <w:tr2bl w:val="nil"/>
            </w:tcBorders>
            <w:noWrap/>
            <w:vAlign w:val="center"/>
          </w:tcPr>
          <w:p w14:paraId="74A4AC3A">
            <w:pPr>
              <w:keepNext w:val="0"/>
              <w:keepLines w:val="0"/>
              <w:widowControl/>
              <w:suppressLineNumbers w:val="0"/>
              <w:jc w:val="center"/>
              <w:textAlignment w:val="center"/>
              <w:rPr>
                <w:rFonts w:hint="eastAsia" w:ascii="黑体" w:hAnsi="黑体" w:eastAsia="黑体" w:cs="黑体"/>
                <w:color w:val="000000" w:themeColor="text1"/>
                <w:highlight w:val="none"/>
                <w14:textFill>
                  <w14:solidFill>
                    <w14:schemeClr w14:val="tx1"/>
                  </w14:solidFill>
                </w14:textFill>
              </w:rPr>
            </w:pPr>
          </w:p>
        </w:tc>
        <w:tc>
          <w:tcPr>
            <w:tcW w:w="5771" w:type="dxa"/>
            <w:tcBorders>
              <w:tl2br w:val="nil"/>
              <w:tr2bl w:val="nil"/>
            </w:tcBorders>
            <w:noWrap/>
            <w:vAlign w:val="center"/>
          </w:tcPr>
          <w:p w14:paraId="0F5CCB7C">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pPr>
            <w:r>
              <w:rPr>
                <w:rFonts w:hint="default" w:ascii="Times New Roman" w:hAnsi="Times New Roman" w:eastAsia="仿宋_GB2312" w:cs="Times New Roman"/>
                <w:b/>
                <w:bCs/>
                <w:i w:val="0"/>
                <w:iCs w:val="0"/>
                <w:color w:val="000000" w:themeColor="text1"/>
                <w:kern w:val="0"/>
                <w:sz w:val="20"/>
                <w:szCs w:val="20"/>
                <w:highlight w:val="none"/>
                <w:u w:val="none"/>
                <w:lang w:val="en-US" w:eastAsia="zh-CN" w:bidi="ar"/>
                <w14:textFill>
                  <w14:solidFill>
                    <w14:schemeClr w14:val="tx1"/>
                  </w14:solidFill>
                </w14:textFill>
              </w:rPr>
              <w:t>2025届普通高校毕业生</w:t>
            </w:r>
          </w:p>
        </w:tc>
        <w:tc>
          <w:tcPr>
            <w:tcW w:w="5475" w:type="dxa"/>
            <w:tcBorders>
              <w:tl2br w:val="nil"/>
              <w:tr2bl w:val="nil"/>
            </w:tcBorders>
            <w:noWrap/>
            <w:vAlign w:val="center"/>
          </w:tcPr>
          <w:p w14:paraId="08607C39">
            <w:pPr>
              <w:keepNext w:val="0"/>
              <w:keepLines w:val="0"/>
              <w:widowControl/>
              <w:suppressLineNumbers w:val="0"/>
              <w:jc w:val="center"/>
              <w:textAlignment w:val="center"/>
              <w:rPr>
                <w:rFonts w:hint="eastAsia" w:ascii="黑体" w:hAnsi="黑体" w:eastAsia="黑体" w:cs="黑体"/>
                <w:b/>
                <w:bCs/>
                <w:i w:val="0"/>
                <w:iCs w:val="0"/>
                <w:color w:val="000000" w:themeColor="text1"/>
                <w:kern w:val="0"/>
                <w:sz w:val="20"/>
                <w:szCs w:val="20"/>
                <w:highlight w:val="none"/>
                <w:u w:val="none"/>
                <w:lang w:val="en-US" w:eastAsia="zh-CN" w:bidi="ar"/>
                <w14:textFill>
                  <w14:solidFill>
                    <w14:schemeClr w14:val="tx1"/>
                  </w14:solidFill>
                </w14:textFill>
              </w:rPr>
            </w:pPr>
            <w:r>
              <w:rPr>
                <w:rFonts w:hint="eastAsia" w:ascii="仿宋_GB2312" w:hAnsi="仿宋_GB2312" w:eastAsia="仿宋_GB2312" w:cs="仿宋_GB2312"/>
                <w:b/>
                <w:bCs/>
                <w:i w:val="0"/>
                <w:iCs w:val="0"/>
                <w:color w:val="000000" w:themeColor="text1"/>
                <w:kern w:val="0"/>
                <w:sz w:val="20"/>
                <w:szCs w:val="20"/>
                <w:highlight w:val="none"/>
                <w:u w:val="none"/>
                <w:lang w:val="en-US" w:eastAsia="zh-CN" w:bidi="ar"/>
                <w14:textFill>
                  <w14:solidFill>
                    <w14:schemeClr w14:val="tx1"/>
                  </w14:solidFill>
                </w14:textFill>
              </w:rPr>
              <w:t>优秀教师</w:t>
            </w:r>
          </w:p>
        </w:tc>
      </w:tr>
      <w:tr w14:paraId="3E3C68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1" w:hRule="exact"/>
        </w:trPr>
        <w:tc>
          <w:tcPr>
            <w:tcW w:w="684" w:type="dxa"/>
            <w:vMerge w:val="restart"/>
            <w:tcBorders>
              <w:tl2br w:val="nil"/>
              <w:tr2bl w:val="nil"/>
            </w:tcBorders>
            <w:noWrap/>
            <w:vAlign w:val="center"/>
          </w:tcPr>
          <w:p w14:paraId="47C2AF66">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仿宋_GB2312" w:hAnsi="仿宋_GB2312" w:eastAsia="仿宋_GB2312" w:cs="仿宋_GB2312"/>
                <w:i w:val="0"/>
                <w:iCs w:val="0"/>
                <w:color w:val="000000" w:themeColor="text1"/>
                <w:kern w:val="0"/>
                <w:sz w:val="21"/>
                <w:szCs w:val="21"/>
                <w:highlight w:val="none"/>
                <w:u w:val="none"/>
                <w:lang w:val="en-US" w:eastAsia="zh-CN" w:bidi="ar"/>
                <w14:textFill>
                  <w14:solidFill>
                    <w14:schemeClr w14:val="tx1"/>
                  </w14:solidFill>
                </w14:textFill>
              </w:rPr>
              <w:t>高中</w:t>
            </w:r>
          </w:p>
        </w:tc>
        <w:tc>
          <w:tcPr>
            <w:tcW w:w="2061" w:type="dxa"/>
            <w:vMerge w:val="restart"/>
            <w:tcBorders>
              <w:tl2br w:val="nil"/>
              <w:tr2bl w:val="nil"/>
            </w:tcBorders>
            <w:noWrap/>
            <w:vAlign w:val="center"/>
          </w:tcPr>
          <w:p w14:paraId="7C6E5A83">
            <w:pPr>
              <w:keepNext w:val="0"/>
              <w:keepLines w:val="0"/>
              <w:widowControl/>
              <w:suppressLineNumbers w:val="0"/>
              <w:jc w:val="left"/>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浙江省武义第二中学</w:t>
            </w:r>
          </w:p>
        </w:tc>
        <w:tc>
          <w:tcPr>
            <w:tcW w:w="656" w:type="dxa"/>
            <w:tcBorders>
              <w:tl2br w:val="nil"/>
              <w:tr2bl w:val="nil"/>
            </w:tcBorders>
            <w:noWrap/>
            <w:vAlign w:val="center"/>
          </w:tcPr>
          <w:p w14:paraId="4C44015E">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数学</w:t>
            </w:r>
          </w:p>
        </w:tc>
        <w:tc>
          <w:tcPr>
            <w:tcW w:w="690" w:type="dxa"/>
            <w:tcBorders>
              <w:tl2br w:val="nil"/>
              <w:tr2bl w:val="nil"/>
            </w:tcBorders>
            <w:noWrap/>
            <w:vAlign w:val="center"/>
          </w:tcPr>
          <w:p w14:paraId="2CD5074C">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1</w:t>
            </w:r>
          </w:p>
        </w:tc>
        <w:tc>
          <w:tcPr>
            <w:tcW w:w="5771" w:type="dxa"/>
            <w:vMerge w:val="restart"/>
            <w:tcBorders>
              <w:tl2br w:val="nil"/>
              <w:tr2bl w:val="nil"/>
            </w:tcBorders>
            <w:noWrap/>
            <w:vAlign w:val="center"/>
          </w:tcPr>
          <w:p w14:paraId="4F4DA366">
            <w:pPr>
              <w:keepNext w:val="0"/>
              <w:keepLines w:val="0"/>
              <w:widowControl/>
              <w:suppressLineNumbers w:val="0"/>
              <w:jc w:val="left"/>
              <w:textAlignment w:val="cente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t>一、年龄要求</w:t>
            </w:r>
          </w:p>
          <w:p w14:paraId="2D58BEDB">
            <w:pPr>
              <w:keepNext w:val="0"/>
              <w:keepLines w:val="0"/>
              <w:widowControl/>
              <w:numPr>
                <w:ilvl w:val="0"/>
                <w:numId w:val="0"/>
              </w:numPr>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5</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周岁及以下（19</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89</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年</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月以后出生）</w:t>
            </w:r>
          </w:p>
          <w:p w14:paraId="0214813D">
            <w:pPr>
              <w:keepNext w:val="0"/>
              <w:keepLines w:val="0"/>
              <w:widowControl/>
              <w:suppressLineNumbers w:val="0"/>
              <w:jc w:val="left"/>
              <w:textAlignment w:val="cente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t>二、学历学位</w:t>
            </w:r>
          </w:p>
          <w:p w14:paraId="078B0F34">
            <w:pPr>
              <w:keepNext w:val="0"/>
              <w:keepLines w:val="0"/>
              <w:widowControl/>
              <w:suppressLineNumbers w:val="0"/>
              <w:jc w:val="left"/>
              <w:textAlignment w:val="cente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具有</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本科</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及以上学历</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、学士及以上学位</w:t>
            </w:r>
          </w:p>
          <w:p w14:paraId="5A3AA428">
            <w:pPr>
              <w:keepNext w:val="0"/>
              <w:keepLines w:val="0"/>
              <w:widowControl/>
              <w:suppressLineNumbers w:val="0"/>
              <w:jc w:val="left"/>
              <w:textAlignment w:val="center"/>
              <w:rPr>
                <w:rFonts w:hint="eastAsia"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t>三、专业要求</w:t>
            </w:r>
          </w:p>
          <w:p w14:paraId="17D84C5B">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须满足以下专业要求之一：</w:t>
            </w:r>
          </w:p>
          <w:p w14:paraId="2EC3C3D2">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1.</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研究生的研究方向须与岗位专业需求一致，本科或研究生阶段为师范类专业；</w:t>
            </w:r>
          </w:p>
          <w:p w14:paraId="082FAE0E">
            <w:pPr>
              <w:keepNext w:val="0"/>
              <w:keepLines w:val="0"/>
              <w:widowControl/>
              <w:suppressLineNumbers w:val="0"/>
              <w:jc w:val="left"/>
              <w:textAlignment w:val="cente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国家“双一流”建设高校对应建设学科本科及以上毕业生，所学专业与应聘学科需求专业相近或相似（结合教育部普通高等教育专业目录及招聘岗位实际予以综合认定）。</w:t>
            </w:r>
          </w:p>
          <w:p w14:paraId="21A43FE9">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.师范类</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本科毕业生，所学专业须与应聘学科</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一致</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，且就</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读专业为特控线录取，外省毕业生以浙江省对应年份对应专业的录取批次为参照。</w:t>
            </w:r>
          </w:p>
          <w:p w14:paraId="24467196">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4</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.国（境）外毕业生就读学校须是位列ARWU、THE、U.S.News、QS世界大学最新综合排名前100的高校，所学专业和毕业时间等信息以教育部留学服务中心出具的认证书为准，且本科或研究生阶段为师范类专业。</w:t>
            </w:r>
          </w:p>
          <w:p w14:paraId="78BF22FE">
            <w:pPr>
              <w:keepNext w:val="0"/>
              <w:keepLines w:val="0"/>
              <w:widowControl/>
              <w:suppressLineNumbers w:val="0"/>
              <w:jc w:val="left"/>
              <w:textAlignment w:val="cente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t>四、</w:t>
            </w:r>
            <w: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t>学业成绩要求</w:t>
            </w:r>
          </w:p>
          <w:p w14:paraId="4EF53668">
            <w:pPr>
              <w:keepNext w:val="0"/>
              <w:keepLines w:val="0"/>
              <w:widowControl/>
              <w:suppressLineNumbers w:val="0"/>
              <w:jc w:val="left"/>
              <w:textAlignment w:val="cente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1.</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本科生学习成绩要求前三年综合成绩在本专业年级排名前</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6</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w:t>
            </w:r>
          </w:p>
          <w:p w14:paraId="6FCE81B1">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2.浙江师范大学初阳学院、杭州师范大学经亨颐学院（含经亨颐实验班）师范类本科毕业生、国家“双一流”建设高校本科毕业生</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要求前三年综合成绩在本专业年级排名前</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8</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w:t>
            </w:r>
          </w:p>
          <w:p w14:paraId="35206F8E">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研究生不作成绩要求。</w:t>
            </w:r>
          </w:p>
        </w:tc>
        <w:tc>
          <w:tcPr>
            <w:tcW w:w="5475" w:type="dxa"/>
            <w:vMerge w:val="restart"/>
            <w:tcBorders>
              <w:tl2br w:val="nil"/>
              <w:tr2bl w:val="nil"/>
            </w:tcBorders>
            <w:noWrap/>
            <w:vAlign w:val="center"/>
          </w:tcPr>
          <w:p w14:paraId="03BD0E6D">
            <w:pPr>
              <w:keepNext w:val="0"/>
              <w:keepLines w:val="0"/>
              <w:widowControl/>
              <w:suppressLineNumbers w:val="0"/>
              <w:jc w:val="left"/>
              <w:textAlignment w:val="cente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t>一、年龄要求</w:t>
            </w:r>
          </w:p>
          <w:p w14:paraId="2B61EFFA">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具有硕士研究生学历的教师，年龄要求在35周岁以下（198</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9</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年</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月以后出生）；</w:t>
            </w:r>
          </w:p>
          <w:p w14:paraId="2A4D288C">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具有博士研究生学历或中小学高级教师及以上职称的教师，年龄要求在45周岁以下（19</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79</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年</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3</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月以后出生）。</w:t>
            </w:r>
          </w:p>
          <w:p w14:paraId="6F14A93A">
            <w:pPr>
              <w:keepNext w:val="0"/>
              <w:keepLines w:val="0"/>
              <w:widowControl/>
              <w:suppressLineNumbers w:val="0"/>
              <w:jc w:val="left"/>
              <w:textAlignment w:val="cente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t>二、学历学位及职称要求</w:t>
            </w:r>
          </w:p>
          <w:p w14:paraId="27D5C946">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具有硕士研究生及以上学历或中小学高级教师及以上职称。</w:t>
            </w:r>
          </w:p>
          <w:p w14:paraId="01766DDA">
            <w:pPr>
              <w:keepNext w:val="0"/>
              <w:keepLines w:val="0"/>
              <w:widowControl/>
              <w:suppressLineNumbers w:val="0"/>
              <w:jc w:val="left"/>
              <w:textAlignment w:val="cente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黑体" w:cs="Times New Roman"/>
                <w:i w:val="0"/>
                <w:iCs w:val="0"/>
                <w:color w:val="000000" w:themeColor="text1"/>
                <w:kern w:val="0"/>
                <w:sz w:val="21"/>
                <w:szCs w:val="21"/>
                <w:highlight w:val="none"/>
                <w:u w:val="none"/>
                <w:lang w:val="en-US" w:eastAsia="zh-CN" w:bidi="ar"/>
                <w14:textFill>
                  <w14:solidFill>
                    <w14:schemeClr w14:val="tx1"/>
                  </w14:solidFill>
                </w14:textFill>
              </w:rPr>
              <w:t>三、其他要求</w:t>
            </w:r>
          </w:p>
          <w:p w14:paraId="47F7976D">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1.曾获得以下荣誉称号之一：</w:t>
            </w:r>
          </w:p>
          <w:p w14:paraId="0418729D">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（1）全国模范教师</w:t>
            </w:r>
            <w:r>
              <w:rPr>
                <w:rFonts w:hint="eastAsia"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全国优秀教师、全国优秀班主任、全国教书育人楷模、省特级教师、省教学名师等相当专业荣誉的教师。</w:t>
            </w:r>
          </w:p>
          <w:p w14:paraId="078DDEB3">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（2）近五年所辅导的学生获得过全国高中奥林匹克竞赛（数学、物理、化学、生物、信息）全国金牌的且承担主教练工作的教师。</w:t>
            </w:r>
          </w:p>
          <w:p w14:paraId="4DACFE2C">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3）全国职业院校技能大赛二等奖及以上或省级职业院校技能大赛一等奖者；省级及以上技术能手；世界技能大赛国家集训队成员；参加人社部门或教育部门组织的职业技能大赛获省级前三名、国家级前六名者；指导学生获得全国职业院校技能大赛一等奖的优秀指导教师。</w:t>
            </w:r>
          </w:p>
          <w:p w14:paraId="4BAB5127">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（4）曾获得相应学科县级及以上教坛新苗、教学能手、教坛新秀、名师，地级市优质课一等奖及以上等荣誉的教师。</w:t>
            </w:r>
          </w:p>
          <w:p w14:paraId="3B38030B">
            <w:pPr>
              <w:keepNext w:val="0"/>
              <w:keepLines w:val="0"/>
              <w:widowControl/>
              <w:suppressLineNumbers w:val="0"/>
              <w:jc w:val="left"/>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t>2.具有相应岗位的教师资格证书。</w:t>
            </w:r>
          </w:p>
        </w:tc>
      </w:tr>
      <w:tr w14:paraId="551CC8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1" w:hRule="exact"/>
        </w:trPr>
        <w:tc>
          <w:tcPr>
            <w:tcW w:w="684" w:type="dxa"/>
            <w:vMerge w:val="continue"/>
            <w:tcBorders>
              <w:tl2br w:val="nil"/>
              <w:tr2bl w:val="nil"/>
            </w:tcBorders>
            <w:noWrap/>
            <w:vAlign w:val="center"/>
          </w:tcPr>
          <w:p w14:paraId="7FD75EA2">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p>
        </w:tc>
        <w:tc>
          <w:tcPr>
            <w:tcW w:w="2061" w:type="dxa"/>
            <w:vMerge w:val="continue"/>
            <w:tcBorders>
              <w:tl2br w:val="nil"/>
              <w:tr2bl w:val="nil"/>
            </w:tcBorders>
            <w:noWrap/>
            <w:vAlign w:val="center"/>
          </w:tcPr>
          <w:p w14:paraId="4BB48612">
            <w:pPr>
              <w:keepNext w:val="0"/>
              <w:keepLines w:val="0"/>
              <w:widowControl/>
              <w:suppressLineNumbers w:val="0"/>
              <w:jc w:val="left"/>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p>
        </w:tc>
        <w:tc>
          <w:tcPr>
            <w:tcW w:w="656" w:type="dxa"/>
            <w:tcBorders>
              <w:tl2br w:val="nil"/>
              <w:tr2bl w:val="nil"/>
            </w:tcBorders>
            <w:noWrap/>
            <w:vAlign w:val="center"/>
          </w:tcPr>
          <w:p w14:paraId="06422784">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地理</w:t>
            </w:r>
          </w:p>
        </w:tc>
        <w:tc>
          <w:tcPr>
            <w:tcW w:w="690" w:type="dxa"/>
            <w:tcBorders>
              <w:tl2br w:val="nil"/>
              <w:tr2bl w:val="nil"/>
            </w:tcBorders>
            <w:noWrap/>
            <w:vAlign w:val="center"/>
          </w:tcPr>
          <w:p w14:paraId="7BCA0826">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1</w:t>
            </w:r>
          </w:p>
        </w:tc>
        <w:tc>
          <w:tcPr>
            <w:tcW w:w="5771" w:type="dxa"/>
            <w:vMerge w:val="continue"/>
            <w:tcBorders>
              <w:tl2br w:val="nil"/>
              <w:tr2bl w:val="nil"/>
            </w:tcBorders>
            <w:noWrap/>
            <w:vAlign w:val="center"/>
          </w:tcPr>
          <w:p w14:paraId="3EFBC905">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5475" w:type="dxa"/>
            <w:vMerge w:val="continue"/>
            <w:tcBorders>
              <w:tl2br w:val="nil"/>
              <w:tr2bl w:val="nil"/>
            </w:tcBorders>
            <w:noWrap/>
            <w:vAlign w:val="center"/>
          </w:tcPr>
          <w:p w14:paraId="2F4F38E3">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p>
        </w:tc>
      </w:tr>
      <w:tr w14:paraId="315560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1" w:hRule="exact"/>
        </w:trPr>
        <w:tc>
          <w:tcPr>
            <w:tcW w:w="684" w:type="dxa"/>
            <w:vMerge w:val="continue"/>
            <w:tcBorders>
              <w:tl2br w:val="nil"/>
              <w:tr2bl w:val="nil"/>
            </w:tcBorders>
            <w:noWrap/>
            <w:vAlign w:val="center"/>
          </w:tcPr>
          <w:p w14:paraId="589D0BD7">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p>
        </w:tc>
        <w:tc>
          <w:tcPr>
            <w:tcW w:w="2061" w:type="dxa"/>
            <w:tcBorders>
              <w:tl2br w:val="nil"/>
              <w:tr2bl w:val="nil"/>
            </w:tcBorders>
            <w:noWrap/>
            <w:vAlign w:val="center"/>
          </w:tcPr>
          <w:p w14:paraId="58931DA6">
            <w:pPr>
              <w:keepNext w:val="0"/>
              <w:keepLines w:val="0"/>
              <w:widowControl/>
              <w:suppressLineNumbers w:val="0"/>
              <w:jc w:val="left"/>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浙江省武义第三中学</w:t>
            </w:r>
          </w:p>
        </w:tc>
        <w:tc>
          <w:tcPr>
            <w:tcW w:w="656" w:type="dxa"/>
            <w:tcBorders>
              <w:tl2br w:val="nil"/>
              <w:tr2bl w:val="nil"/>
            </w:tcBorders>
            <w:noWrap/>
            <w:vAlign w:val="center"/>
          </w:tcPr>
          <w:p w14:paraId="7107FE92">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地理</w:t>
            </w:r>
          </w:p>
        </w:tc>
        <w:tc>
          <w:tcPr>
            <w:tcW w:w="690" w:type="dxa"/>
            <w:tcBorders>
              <w:tl2br w:val="nil"/>
              <w:tr2bl w:val="nil"/>
            </w:tcBorders>
            <w:noWrap/>
            <w:vAlign w:val="center"/>
          </w:tcPr>
          <w:p w14:paraId="71E36B9F">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1</w:t>
            </w:r>
          </w:p>
        </w:tc>
        <w:tc>
          <w:tcPr>
            <w:tcW w:w="5771" w:type="dxa"/>
            <w:vMerge w:val="continue"/>
            <w:tcBorders>
              <w:tl2br w:val="nil"/>
              <w:tr2bl w:val="nil"/>
            </w:tcBorders>
            <w:noWrap/>
            <w:vAlign w:val="center"/>
          </w:tcPr>
          <w:p w14:paraId="22C1E392">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5475" w:type="dxa"/>
            <w:vMerge w:val="continue"/>
            <w:tcBorders>
              <w:tl2br w:val="nil"/>
              <w:tr2bl w:val="nil"/>
            </w:tcBorders>
            <w:noWrap/>
            <w:vAlign w:val="center"/>
          </w:tcPr>
          <w:p w14:paraId="74E78311">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p>
        </w:tc>
      </w:tr>
      <w:tr w14:paraId="4DE6E8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01" w:hRule="exact"/>
        </w:trPr>
        <w:tc>
          <w:tcPr>
            <w:tcW w:w="684" w:type="dxa"/>
            <w:vMerge w:val="restart"/>
            <w:tcBorders>
              <w:tl2br w:val="nil"/>
              <w:tr2bl w:val="nil"/>
            </w:tcBorders>
            <w:noWrap/>
            <w:vAlign w:val="center"/>
          </w:tcPr>
          <w:p w14:paraId="47A5D2E6">
            <w:pPr>
              <w:keepNext w:val="0"/>
              <w:keepLines w:val="0"/>
              <w:widowControl/>
              <w:suppressLineNumbers w:val="0"/>
              <w:jc w:val="center"/>
              <w:textAlignment w:val="center"/>
              <w:rPr>
                <w:rFonts w:hint="eastAsia" w:ascii="仿宋_GB2312" w:hAnsi="仿宋_GB2312" w:eastAsia="仿宋_GB2312" w:cs="仿宋_GB2312"/>
                <w:b/>
                <w:bCs/>
                <w:i w:val="0"/>
                <w:iCs w:val="0"/>
                <w:color w:val="000000" w:themeColor="text1"/>
                <w:sz w:val="21"/>
                <w:szCs w:val="21"/>
                <w:highlight w:val="none"/>
                <w:u w:val="none"/>
                <w14:textFill>
                  <w14:solidFill>
                    <w14:schemeClr w14:val="tx1"/>
                  </w14:solidFill>
                </w14:textFill>
              </w:rPr>
            </w:pPr>
            <w:r>
              <w:rPr>
                <w:rFonts w:hint="eastAsia" w:ascii="仿宋_GB2312" w:hAnsi="仿宋_GB2312" w:eastAsia="仿宋_GB2312" w:cs="仿宋_GB2312"/>
                <w:i w:val="0"/>
                <w:iCs w:val="0"/>
                <w:color w:val="000000" w:themeColor="text1"/>
                <w:kern w:val="0"/>
                <w:sz w:val="21"/>
                <w:szCs w:val="21"/>
                <w:highlight w:val="none"/>
                <w:u w:val="none"/>
                <w:lang w:val="en-US" w:eastAsia="zh-CN" w:bidi="ar"/>
                <w14:textFill>
                  <w14:solidFill>
                    <w14:schemeClr w14:val="tx1"/>
                  </w14:solidFill>
                </w14:textFill>
              </w:rPr>
              <w:t>初中</w:t>
            </w:r>
          </w:p>
        </w:tc>
        <w:tc>
          <w:tcPr>
            <w:tcW w:w="2061" w:type="dxa"/>
            <w:tcBorders>
              <w:tl2br w:val="nil"/>
              <w:tr2bl w:val="nil"/>
            </w:tcBorders>
            <w:shd w:val="clear" w:color="auto" w:fill="auto"/>
            <w:noWrap/>
            <w:vAlign w:val="center"/>
          </w:tcPr>
          <w:p w14:paraId="4CA977C9">
            <w:pPr>
              <w:keepNext w:val="0"/>
              <w:keepLines w:val="0"/>
              <w:widowControl/>
              <w:suppressLineNumbers w:val="0"/>
              <w:jc w:val="left"/>
              <w:textAlignment w:val="center"/>
              <w:rPr>
                <w:rFonts w:hint="eastAsia" w:ascii="仿宋_GB2312" w:hAnsi="仿宋_GB2312" w:eastAsia="仿宋_GB2312" w:cs="仿宋_GB2312"/>
                <w:i w:val="0"/>
                <w:iCs w:val="0"/>
                <w:color w:val="000000" w:themeColor="text1"/>
                <w:kern w:val="2"/>
                <w:sz w:val="21"/>
                <w:szCs w:val="21"/>
                <w:highlight w:val="none"/>
                <w:u w:val="none"/>
                <w:lang w:val="en-US" w:eastAsia="zh-CN" w:bidi="ar-SA"/>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浙江省武义县金穗民族中学</w:t>
            </w:r>
          </w:p>
        </w:tc>
        <w:tc>
          <w:tcPr>
            <w:tcW w:w="656" w:type="dxa"/>
            <w:tcBorders>
              <w:tl2br w:val="nil"/>
              <w:tr2bl w:val="nil"/>
            </w:tcBorders>
            <w:shd w:val="clear" w:color="auto" w:fill="auto"/>
            <w:noWrap/>
            <w:vAlign w:val="center"/>
          </w:tcPr>
          <w:p w14:paraId="0384CC80">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kern w:val="2"/>
                <w:sz w:val="21"/>
                <w:szCs w:val="21"/>
                <w:highlight w:val="none"/>
                <w:u w:val="none"/>
                <w:lang w:val="en-US" w:eastAsia="zh-CN" w:bidi="ar-SA"/>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数学</w:t>
            </w:r>
          </w:p>
        </w:tc>
        <w:tc>
          <w:tcPr>
            <w:tcW w:w="690" w:type="dxa"/>
            <w:tcBorders>
              <w:tl2br w:val="nil"/>
              <w:tr2bl w:val="nil"/>
            </w:tcBorders>
            <w:shd w:val="clear" w:color="auto" w:fill="auto"/>
            <w:noWrap/>
            <w:vAlign w:val="center"/>
          </w:tcPr>
          <w:p w14:paraId="0BD7AEAD">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kern w:val="2"/>
                <w:sz w:val="21"/>
                <w:szCs w:val="21"/>
                <w:highlight w:val="none"/>
                <w:u w:val="none"/>
                <w:lang w:val="en-US" w:eastAsia="zh-CN" w:bidi="ar-SA"/>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1</w:t>
            </w:r>
          </w:p>
        </w:tc>
        <w:tc>
          <w:tcPr>
            <w:tcW w:w="5771" w:type="dxa"/>
            <w:vMerge w:val="continue"/>
            <w:tcBorders>
              <w:tl2br w:val="nil"/>
              <w:tr2bl w:val="nil"/>
            </w:tcBorders>
            <w:noWrap/>
            <w:vAlign w:val="center"/>
          </w:tcPr>
          <w:p w14:paraId="027A919F">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5475" w:type="dxa"/>
            <w:vMerge w:val="continue"/>
            <w:tcBorders>
              <w:tl2br w:val="nil"/>
              <w:tr2bl w:val="nil"/>
            </w:tcBorders>
            <w:noWrap/>
            <w:vAlign w:val="center"/>
          </w:tcPr>
          <w:p w14:paraId="1047A89F">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p>
        </w:tc>
      </w:tr>
      <w:tr w14:paraId="1E5403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18" w:hRule="exact"/>
        </w:trPr>
        <w:tc>
          <w:tcPr>
            <w:tcW w:w="684" w:type="dxa"/>
            <w:vMerge w:val="continue"/>
            <w:tcBorders>
              <w:tl2br w:val="nil"/>
              <w:tr2bl w:val="nil"/>
            </w:tcBorders>
            <w:noWrap/>
            <w:vAlign w:val="center"/>
          </w:tcPr>
          <w:p w14:paraId="3A1094E1">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sz w:val="21"/>
                <w:szCs w:val="21"/>
                <w:highlight w:val="none"/>
                <w:u w:val="none"/>
                <w14:textFill>
                  <w14:solidFill>
                    <w14:schemeClr w14:val="tx1"/>
                  </w14:solidFill>
                </w14:textFill>
              </w:rPr>
            </w:pPr>
          </w:p>
        </w:tc>
        <w:tc>
          <w:tcPr>
            <w:tcW w:w="2061" w:type="dxa"/>
            <w:tcBorders>
              <w:tl2br w:val="nil"/>
              <w:tr2bl w:val="nil"/>
            </w:tcBorders>
            <w:shd w:val="clear" w:color="auto" w:fill="auto"/>
            <w:noWrap/>
            <w:vAlign w:val="center"/>
          </w:tcPr>
          <w:p w14:paraId="7E696888">
            <w:pPr>
              <w:keepNext w:val="0"/>
              <w:keepLines w:val="0"/>
              <w:widowControl/>
              <w:suppressLineNumbers w:val="0"/>
              <w:jc w:val="left"/>
              <w:textAlignment w:val="center"/>
              <w:rPr>
                <w:rFonts w:hint="eastAsia" w:ascii="仿宋_GB2312" w:hAnsi="仿宋_GB2312" w:eastAsia="仿宋_GB2312" w:cs="仿宋_GB2312"/>
                <w:b/>
                <w:bCs/>
                <w:i w:val="0"/>
                <w:iCs w:val="0"/>
                <w:color w:val="000000" w:themeColor="text1"/>
                <w:kern w:val="2"/>
                <w:sz w:val="21"/>
                <w:szCs w:val="21"/>
                <w:highlight w:val="none"/>
                <w:u w:val="none"/>
                <w:lang w:val="en-US" w:eastAsia="zh-CN" w:bidi="ar-SA"/>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武义县泉溪中学（新）</w:t>
            </w:r>
          </w:p>
        </w:tc>
        <w:tc>
          <w:tcPr>
            <w:tcW w:w="656" w:type="dxa"/>
            <w:tcBorders>
              <w:tl2br w:val="nil"/>
              <w:tr2bl w:val="nil"/>
            </w:tcBorders>
            <w:shd w:val="clear" w:color="auto" w:fill="auto"/>
            <w:noWrap/>
            <w:vAlign w:val="center"/>
          </w:tcPr>
          <w:p w14:paraId="7DAAA339">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kern w:val="2"/>
                <w:sz w:val="21"/>
                <w:szCs w:val="21"/>
                <w:highlight w:val="none"/>
                <w:u w:val="none"/>
                <w:lang w:val="en-US" w:eastAsia="zh-CN" w:bidi="ar-SA"/>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数学</w:t>
            </w:r>
          </w:p>
        </w:tc>
        <w:tc>
          <w:tcPr>
            <w:tcW w:w="690" w:type="dxa"/>
            <w:tcBorders>
              <w:tl2br w:val="nil"/>
              <w:tr2bl w:val="nil"/>
            </w:tcBorders>
            <w:shd w:val="clear" w:color="auto" w:fill="auto"/>
            <w:noWrap/>
            <w:vAlign w:val="center"/>
          </w:tcPr>
          <w:p w14:paraId="1054FA10">
            <w:pPr>
              <w:keepNext w:val="0"/>
              <w:keepLines w:val="0"/>
              <w:widowControl/>
              <w:suppressLineNumbers w:val="0"/>
              <w:jc w:val="center"/>
              <w:textAlignment w:val="center"/>
              <w:rPr>
                <w:rFonts w:hint="eastAsia" w:ascii="仿宋_GB2312" w:hAnsi="仿宋_GB2312" w:eastAsia="仿宋_GB2312" w:cs="仿宋_GB2312"/>
                <w:i w:val="0"/>
                <w:iCs w:val="0"/>
                <w:color w:val="000000" w:themeColor="text1"/>
                <w:kern w:val="2"/>
                <w:sz w:val="21"/>
                <w:szCs w:val="21"/>
                <w:highlight w:val="none"/>
                <w:u w:val="none"/>
                <w:lang w:val="en-US" w:eastAsia="zh-CN" w:bidi="ar-SA"/>
                <w14:textFill>
                  <w14:solidFill>
                    <w14:schemeClr w14:val="tx1"/>
                  </w14:solidFill>
                </w14:textFill>
              </w:rPr>
            </w:pPr>
            <w:r>
              <w:rPr>
                <w:rFonts w:hint="eastAsia" w:ascii="仿宋_GB2312" w:hAnsi="仿宋_GB2312" w:eastAsia="仿宋_GB2312" w:cs="仿宋_GB2312"/>
                <w:i w:val="0"/>
                <w:iCs w:val="0"/>
                <w:color w:val="000000" w:themeColor="text1"/>
                <w:kern w:val="0"/>
                <w:sz w:val="20"/>
                <w:szCs w:val="20"/>
                <w:highlight w:val="none"/>
                <w:u w:val="none"/>
                <w:lang w:val="en-US" w:eastAsia="zh-CN" w:bidi="ar"/>
                <w14:textFill>
                  <w14:solidFill>
                    <w14:schemeClr w14:val="tx1"/>
                  </w14:solidFill>
                </w14:textFill>
              </w:rPr>
              <w:t>1</w:t>
            </w:r>
          </w:p>
        </w:tc>
        <w:tc>
          <w:tcPr>
            <w:tcW w:w="5771" w:type="dxa"/>
            <w:vMerge w:val="continue"/>
            <w:tcBorders>
              <w:tl2br w:val="nil"/>
              <w:tr2bl w:val="nil"/>
            </w:tcBorders>
            <w:noWrap/>
            <w:vAlign w:val="center"/>
          </w:tcPr>
          <w:p w14:paraId="69AD56DA">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p>
        </w:tc>
        <w:tc>
          <w:tcPr>
            <w:tcW w:w="5475" w:type="dxa"/>
            <w:vMerge w:val="continue"/>
            <w:tcBorders>
              <w:tl2br w:val="nil"/>
              <w:tr2bl w:val="nil"/>
            </w:tcBorders>
            <w:noWrap/>
            <w:vAlign w:val="center"/>
          </w:tcPr>
          <w:p w14:paraId="0E8F2385">
            <w:pPr>
              <w:keepNext w:val="0"/>
              <w:keepLines w:val="0"/>
              <w:widowControl/>
              <w:suppressLineNumbers w:val="0"/>
              <w:jc w:val="center"/>
              <w:textAlignment w:val="center"/>
              <w:rPr>
                <w:rFonts w:hint="default" w:ascii="Times New Roman" w:hAnsi="Times New Roman" w:eastAsia="仿宋_GB2312" w:cs="Times New Roman"/>
                <w:i w:val="0"/>
                <w:iCs w:val="0"/>
                <w:color w:val="000000" w:themeColor="text1"/>
                <w:kern w:val="0"/>
                <w:sz w:val="21"/>
                <w:szCs w:val="21"/>
                <w:highlight w:val="none"/>
                <w:u w:val="none"/>
                <w:lang w:val="en-US" w:eastAsia="zh-CN" w:bidi="ar"/>
                <w14:textFill>
                  <w14:solidFill>
                    <w14:schemeClr w14:val="tx1"/>
                  </w14:solidFill>
                </w14:textFill>
              </w:rPr>
            </w:pPr>
          </w:p>
        </w:tc>
      </w:tr>
    </w:tbl>
    <w:p w14:paraId="591C5AF6">
      <w:pPr>
        <w:pStyle w:val="9"/>
        <w:widowControl w:val="0"/>
        <w:spacing w:before="0" w:beforeAutospacing="0" w:after="0" w:afterAutospacing="0" w:line="560" w:lineRule="exact"/>
        <w:jc w:val="both"/>
        <w:rPr>
          <w:rFonts w:hint="eastAsia" w:ascii="Times New Roman" w:hAnsi="Times New Roman" w:eastAsia="仿宋_GB2312" w:cstheme="minorBidi"/>
          <w:color w:val="000000" w:themeColor="text1"/>
          <w:kern w:val="2"/>
          <w:sz w:val="32"/>
          <w:szCs w:val="32"/>
          <w:highlight w:val="none"/>
          <w14:textFill>
            <w14:solidFill>
              <w14:schemeClr w14:val="tx1"/>
            </w14:solidFill>
          </w14:textFill>
        </w:rPr>
        <w:sectPr>
          <w:footerReference r:id="rId3" w:type="default"/>
          <w:pgSz w:w="16838" w:h="11906" w:orient="landscape"/>
          <w:pgMar w:top="291" w:right="1701" w:bottom="-655" w:left="1588" w:header="851" w:footer="1020" w:gutter="0"/>
          <w:pgBorders>
            <w:top w:val="none" w:sz="0" w:space="0"/>
            <w:left w:val="none" w:sz="0" w:space="0"/>
            <w:bottom w:val="none" w:sz="0" w:space="0"/>
            <w:right w:val="none" w:sz="0" w:space="0"/>
          </w:pgBorders>
          <w:cols w:space="425" w:num="1"/>
          <w:docGrid w:type="lines" w:linePitch="312" w:charSpace="0"/>
        </w:sectPr>
      </w:pPr>
    </w:p>
    <w:p w14:paraId="76F0C45C">
      <w:pPr>
        <w:rPr>
          <w:rFonts w:hint="eastAsia" w:ascii="Times New Roman" w:hAnsi="Times New Roman" w:eastAsia="仿宋_GB2312" w:cstheme="minorBidi"/>
          <w:color w:val="000000" w:themeColor="text1"/>
          <w:kern w:val="2"/>
          <w:sz w:val="32"/>
          <w:szCs w:val="32"/>
          <w:highlight w:val="none"/>
          <w14:textFill>
            <w14:solidFill>
              <w14:schemeClr w14:val="tx1"/>
            </w14:solidFill>
          </w14:textFill>
        </w:rPr>
      </w:pPr>
      <w:bookmarkStart w:id="0" w:name="_GoBack"/>
      <w:bookmarkEnd w:id="0"/>
    </w:p>
    <w:sectPr>
      <w:footerReference r:id="rId4" w:type="default"/>
      <w:pgSz w:w="11906" w:h="16838"/>
      <w:pgMar w:top="600" w:right="1080" w:bottom="1440" w:left="108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50E2C010-02A6-CD13-833E-F667146D2C7C}"/>
  </w:font>
  <w:font w:name="Arial">
    <w:altName w:val="Times New Roman"/>
    <w:panose1 w:val="020B0604020202020204"/>
    <w:charset w:val="01"/>
    <w:family w:val="swiss"/>
    <w:pitch w:val="default"/>
    <w:sig w:usb0="E0002AFF" w:usb1="C0007843" w:usb2="00000009" w:usb3="00000000" w:csb0="400001FF" w:csb1="FFFF0000"/>
  </w:font>
  <w:font w:name="黑体">
    <w:altName w:val="黑体"/>
    <w:panose1 w:val="02010609060101010101"/>
    <w:charset w:val="86"/>
    <w:family w:val="auto"/>
    <w:pitch w:val="default"/>
    <w:sig w:usb0="800002BF" w:usb1="38CF7CFA" w:usb2="00000016" w:usb3="00000000" w:csb0="00040001" w:csb1="00000000"/>
    <w:embedRegular r:id="rId2" w:fontKey="{EB96C5CB-A501-E159-833E-F6673F9D4BE3}"/>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3" w:fontKey="{FCFDA94D-899A-54CA-833E-F66751FA341C}"/>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embedRegular r:id="rId4" w:fontKey="{0D8D502C-8475-4EAE-833E-F66753A571DF}"/>
  </w:font>
  <w:font w:name="方正书宋_GBK">
    <w:panose1 w:val="02000000000000000000"/>
    <w:charset w:val="86"/>
    <w:family w:val="auto"/>
    <w:pitch w:val="default"/>
    <w:sig w:usb0="00000001" w:usb1="08000000" w:usb2="00000000" w:usb3="00000000" w:csb0="00040000" w:csb1="00000000"/>
    <w:embedRegular r:id="rId5" w:fontKey="{7314C2C6-D8FC-09F9-833E-F667BA7039E5}"/>
  </w:font>
  <w:font w:name="微软雅黑">
    <w:altName w:val="黑体"/>
    <w:panose1 w:val="020B0503020204020204"/>
    <w:charset w:val="86"/>
    <w:family w:val="swiss"/>
    <w:pitch w:val="default"/>
    <w:sig w:usb0="00000000" w:usb1="00000000" w:usb2="00000016" w:usb3="00000000" w:csb0="0004001F" w:csb1="00000000"/>
  </w:font>
  <w:font w:name="仿宋_GB2312">
    <w:panose1 w:val="02010609030101010101"/>
    <w:charset w:val="86"/>
    <w:family w:val="modern"/>
    <w:pitch w:val="default"/>
    <w:sig w:usb0="00000001" w:usb1="080E0000" w:usb2="00000000" w:usb3="00000000" w:csb0="00040000" w:csb1="00000000"/>
    <w:embedRegular r:id="rId6" w:fontKey="{F99D066A-A7EB-D84F-833E-F6676FE56E87}"/>
  </w:font>
  <w:font w:name="方正小标宋简体">
    <w:panose1 w:val="02010600010101010101"/>
    <w:charset w:val="86"/>
    <w:family w:val="script"/>
    <w:pitch w:val="default"/>
    <w:sig w:usb0="00000001" w:usb1="080E0000" w:usb2="00000000" w:usb3="00000000" w:csb0="00040000" w:csb1="00000000"/>
    <w:embedRegular r:id="rId7" w:fontKey="{44655517-ABC9-70E3-833E-F66765DF7EE9}"/>
  </w:font>
  <w:font w:name="楷体_GB2312">
    <w:panose1 w:val="02010609030101010101"/>
    <w:charset w:val="86"/>
    <w:family w:val="modern"/>
    <w:pitch w:val="default"/>
    <w:sig w:usb0="00000001" w:usb1="080E0000" w:usb2="00000000" w:usb3="00000000" w:csb0="00040000" w:csb1="00000000"/>
    <w:embedRegular r:id="rId8" w:fontKey="{AD0D9DAC-A076-6205-833E-F6678ECAB470}"/>
  </w:font>
  <w:font w:name="Noto Sans CJK JP Bold">
    <w:panose1 w:val="020B0800000000000000"/>
    <w:charset w:val="86"/>
    <w:family w:val="auto"/>
    <w:pitch w:val="default"/>
    <w:sig w:usb0="30000003" w:usb1="2BDF3C10" w:usb2="00000016" w:usb3="00000000" w:csb0="602E0107" w:csb1="00000000"/>
    <w:embedRegular r:id="rId9" w:fontKey="{A081EB9B-362F-14D3-833E-F66787BE41C4}"/>
  </w:font>
  <w:font w:name="方正仿宋_GBK">
    <w:panose1 w:val="02000000000000000000"/>
    <w:charset w:val="86"/>
    <w:family w:val="auto"/>
    <w:pitch w:val="default"/>
    <w:sig w:usb0="00000001" w:usb1="08000000" w:usb2="00000000" w:usb3="00000000" w:csb0="00040000" w:csb1="00000000"/>
    <w:embedRegular r:id="rId10" w:fontKey="{E1F66C08-1EE3-6EE4-833E-F6671F96A0B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82F8E5">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9C64B6">
    <w:pPr>
      <w:pStyle w:val="7"/>
      <w:ind w:firstLine="1084" w:firstLineChars="600"/>
      <w:rPr>
        <w:rFonts w:hint="eastAsia" w:eastAsia="宋体"/>
        <w:b/>
        <w:bCs/>
        <w:lang w:eastAsia="zh-CN"/>
      </w:rPr>
    </w:pPr>
    <w:r>
      <w:rPr>
        <w:rFonts w:hint="eastAsia"/>
        <w:b/>
        <w:bCs/>
        <w:lang w:eastAsia="zh-CN"/>
      </w:rPr>
      <w:t>请严格按要求填表，信息填写不全者视为资格不符合。请注意</w:t>
    </w:r>
    <w:r>
      <w:rPr>
        <w:rFonts w:hint="eastAsia"/>
        <w:b/>
        <w:bCs/>
      </w:rPr>
      <w:t>表格</w:t>
    </w:r>
    <w:r>
      <w:rPr>
        <w:rFonts w:hint="eastAsia"/>
        <w:b/>
        <w:bCs/>
        <w:lang w:eastAsia="zh-CN"/>
      </w:rPr>
      <w:t>完整性，</w:t>
    </w:r>
    <w:r>
      <w:rPr>
        <w:rFonts w:hint="eastAsia"/>
        <w:b/>
        <w:bCs/>
      </w:rPr>
      <w:t>不要破页</w:t>
    </w:r>
    <w:r>
      <w:rPr>
        <w:rFonts w:hint="eastAsia"/>
        <w:b/>
        <w:bCs/>
        <w:lang w:eastAsia="zh-CN"/>
      </w:rPr>
      <w:t>。</w: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gzMDk0MTUzODY0MDg5ZmU0NjEwZjcyZTc3OTdlN2UifQ=="/>
  </w:docVars>
  <w:rsids>
    <w:rsidRoot w:val="00AC5750"/>
    <w:rsid w:val="00070F9C"/>
    <w:rsid w:val="00091DA8"/>
    <w:rsid w:val="000B3ABD"/>
    <w:rsid w:val="001370CA"/>
    <w:rsid w:val="001A264D"/>
    <w:rsid w:val="001B252C"/>
    <w:rsid w:val="001C448A"/>
    <w:rsid w:val="001C55C8"/>
    <w:rsid w:val="001E2660"/>
    <w:rsid w:val="001F1B52"/>
    <w:rsid w:val="00231B9F"/>
    <w:rsid w:val="00240485"/>
    <w:rsid w:val="00241CCD"/>
    <w:rsid w:val="00263BEC"/>
    <w:rsid w:val="002714D0"/>
    <w:rsid w:val="00297810"/>
    <w:rsid w:val="002A2BC5"/>
    <w:rsid w:val="002D08B8"/>
    <w:rsid w:val="002E0AD6"/>
    <w:rsid w:val="003003D8"/>
    <w:rsid w:val="003410E6"/>
    <w:rsid w:val="00382748"/>
    <w:rsid w:val="00384ECE"/>
    <w:rsid w:val="00404DF8"/>
    <w:rsid w:val="0040619F"/>
    <w:rsid w:val="00416E83"/>
    <w:rsid w:val="00420977"/>
    <w:rsid w:val="00437A0B"/>
    <w:rsid w:val="0048515E"/>
    <w:rsid w:val="004C44C7"/>
    <w:rsid w:val="00502C21"/>
    <w:rsid w:val="0050401D"/>
    <w:rsid w:val="00554D0F"/>
    <w:rsid w:val="00570E7F"/>
    <w:rsid w:val="00574F2D"/>
    <w:rsid w:val="00594E9D"/>
    <w:rsid w:val="005B1407"/>
    <w:rsid w:val="005B38E0"/>
    <w:rsid w:val="00611655"/>
    <w:rsid w:val="00616633"/>
    <w:rsid w:val="00662DE5"/>
    <w:rsid w:val="006B0BAF"/>
    <w:rsid w:val="006B159D"/>
    <w:rsid w:val="006B1B34"/>
    <w:rsid w:val="006B65DC"/>
    <w:rsid w:val="00740EA2"/>
    <w:rsid w:val="00791873"/>
    <w:rsid w:val="007D02C4"/>
    <w:rsid w:val="007F0444"/>
    <w:rsid w:val="007F4F65"/>
    <w:rsid w:val="00856320"/>
    <w:rsid w:val="008A00BF"/>
    <w:rsid w:val="008E4B78"/>
    <w:rsid w:val="0097783A"/>
    <w:rsid w:val="009A3326"/>
    <w:rsid w:val="00A079DE"/>
    <w:rsid w:val="00A33611"/>
    <w:rsid w:val="00AB1FA4"/>
    <w:rsid w:val="00AC5750"/>
    <w:rsid w:val="00AD2314"/>
    <w:rsid w:val="00B14341"/>
    <w:rsid w:val="00B23580"/>
    <w:rsid w:val="00B34E53"/>
    <w:rsid w:val="00B9399C"/>
    <w:rsid w:val="00BB6538"/>
    <w:rsid w:val="00BE62EF"/>
    <w:rsid w:val="00C1524D"/>
    <w:rsid w:val="00C24426"/>
    <w:rsid w:val="00C479B1"/>
    <w:rsid w:val="00C955B2"/>
    <w:rsid w:val="00CB1413"/>
    <w:rsid w:val="00D136E3"/>
    <w:rsid w:val="00D72607"/>
    <w:rsid w:val="00D73BCC"/>
    <w:rsid w:val="00E435A3"/>
    <w:rsid w:val="00EB391A"/>
    <w:rsid w:val="00F04B58"/>
    <w:rsid w:val="00F36022"/>
    <w:rsid w:val="00F60B6C"/>
    <w:rsid w:val="00F713EB"/>
    <w:rsid w:val="00F720E9"/>
    <w:rsid w:val="00F76BF1"/>
    <w:rsid w:val="00FC36E7"/>
    <w:rsid w:val="01D878B3"/>
    <w:rsid w:val="0206154F"/>
    <w:rsid w:val="02634379"/>
    <w:rsid w:val="02F64284"/>
    <w:rsid w:val="0334789D"/>
    <w:rsid w:val="03B46C2F"/>
    <w:rsid w:val="03F745F0"/>
    <w:rsid w:val="041F679F"/>
    <w:rsid w:val="04475CCC"/>
    <w:rsid w:val="044D277D"/>
    <w:rsid w:val="048C47AC"/>
    <w:rsid w:val="04EB042F"/>
    <w:rsid w:val="05B57C30"/>
    <w:rsid w:val="05E728F3"/>
    <w:rsid w:val="05EF21A1"/>
    <w:rsid w:val="06587E4E"/>
    <w:rsid w:val="079D7F8B"/>
    <w:rsid w:val="07D11B1F"/>
    <w:rsid w:val="091059D1"/>
    <w:rsid w:val="09C13E54"/>
    <w:rsid w:val="0A77575F"/>
    <w:rsid w:val="0ABB08A3"/>
    <w:rsid w:val="0BDC5D27"/>
    <w:rsid w:val="0BF95B27"/>
    <w:rsid w:val="0CC51EAD"/>
    <w:rsid w:val="0DCC5D06"/>
    <w:rsid w:val="0E427599"/>
    <w:rsid w:val="0E646051"/>
    <w:rsid w:val="0FF4473B"/>
    <w:rsid w:val="10DE52EC"/>
    <w:rsid w:val="116003F7"/>
    <w:rsid w:val="130C214D"/>
    <w:rsid w:val="135950FD"/>
    <w:rsid w:val="14A66EC5"/>
    <w:rsid w:val="14CC6E5C"/>
    <w:rsid w:val="152D05F0"/>
    <w:rsid w:val="15B54724"/>
    <w:rsid w:val="15B823D5"/>
    <w:rsid w:val="160676F6"/>
    <w:rsid w:val="16EF2001"/>
    <w:rsid w:val="17265ABC"/>
    <w:rsid w:val="173E0892"/>
    <w:rsid w:val="18315846"/>
    <w:rsid w:val="184C5231"/>
    <w:rsid w:val="18D07C10"/>
    <w:rsid w:val="190365D8"/>
    <w:rsid w:val="19663FB9"/>
    <w:rsid w:val="19683537"/>
    <w:rsid w:val="196E689B"/>
    <w:rsid w:val="1A341039"/>
    <w:rsid w:val="1A376E09"/>
    <w:rsid w:val="1A6052D4"/>
    <w:rsid w:val="1AC93AF2"/>
    <w:rsid w:val="1C533032"/>
    <w:rsid w:val="1CD557F5"/>
    <w:rsid w:val="1CE1606D"/>
    <w:rsid w:val="1CFA525B"/>
    <w:rsid w:val="1D7E40DE"/>
    <w:rsid w:val="1D9F5E03"/>
    <w:rsid w:val="1E42335E"/>
    <w:rsid w:val="1E9E7826"/>
    <w:rsid w:val="1ECC0E79"/>
    <w:rsid w:val="1ED57D2E"/>
    <w:rsid w:val="1FEBD5B4"/>
    <w:rsid w:val="202C6073"/>
    <w:rsid w:val="205A69DF"/>
    <w:rsid w:val="20C66F34"/>
    <w:rsid w:val="21DA501C"/>
    <w:rsid w:val="21E64000"/>
    <w:rsid w:val="222C06FE"/>
    <w:rsid w:val="23243032"/>
    <w:rsid w:val="24DA3E1F"/>
    <w:rsid w:val="253A2F25"/>
    <w:rsid w:val="25F31172"/>
    <w:rsid w:val="267707EC"/>
    <w:rsid w:val="26B448EF"/>
    <w:rsid w:val="26C477B8"/>
    <w:rsid w:val="26C863CA"/>
    <w:rsid w:val="274F2647"/>
    <w:rsid w:val="27826388"/>
    <w:rsid w:val="29FD282F"/>
    <w:rsid w:val="2AB949A8"/>
    <w:rsid w:val="2AE8684E"/>
    <w:rsid w:val="2D60221A"/>
    <w:rsid w:val="2D766B80"/>
    <w:rsid w:val="2DCC67A0"/>
    <w:rsid w:val="2DE7752D"/>
    <w:rsid w:val="2E7872A4"/>
    <w:rsid w:val="2E894335"/>
    <w:rsid w:val="2EF7440A"/>
    <w:rsid w:val="2EFF07AF"/>
    <w:rsid w:val="2F436A23"/>
    <w:rsid w:val="2F796C72"/>
    <w:rsid w:val="309B7F0F"/>
    <w:rsid w:val="30C95219"/>
    <w:rsid w:val="31513A7B"/>
    <w:rsid w:val="31D75713"/>
    <w:rsid w:val="31E63BA8"/>
    <w:rsid w:val="321E6C5D"/>
    <w:rsid w:val="32206413"/>
    <w:rsid w:val="33062366"/>
    <w:rsid w:val="33346BCF"/>
    <w:rsid w:val="33D7342B"/>
    <w:rsid w:val="342509B8"/>
    <w:rsid w:val="34B06827"/>
    <w:rsid w:val="34B8182C"/>
    <w:rsid w:val="35470E02"/>
    <w:rsid w:val="35585E1E"/>
    <w:rsid w:val="35B06A6B"/>
    <w:rsid w:val="35E0269F"/>
    <w:rsid w:val="36A06A1C"/>
    <w:rsid w:val="37C95E91"/>
    <w:rsid w:val="38334045"/>
    <w:rsid w:val="38CF5396"/>
    <w:rsid w:val="391518A9"/>
    <w:rsid w:val="394634E1"/>
    <w:rsid w:val="39480176"/>
    <w:rsid w:val="39D569DC"/>
    <w:rsid w:val="3A0D68C1"/>
    <w:rsid w:val="3A773B65"/>
    <w:rsid w:val="3AD66EB0"/>
    <w:rsid w:val="3B2E61CE"/>
    <w:rsid w:val="3B382691"/>
    <w:rsid w:val="3BA42B0A"/>
    <w:rsid w:val="3C514B5D"/>
    <w:rsid w:val="3C955114"/>
    <w:rsid w:val="3CED228F"/>
    <w:rsid w:val="3D102C46"/>
    <w:rsid w:val="3D32735D"/>
    <w:rsid w:val="3DE2791A"/>
    <w:rsid w:val="3E020BE7"/>
    <w:rsid w:val="3E3E4A45"/>
    <w:rsid w:val="3F2F3423"/>
    <w:rsid w:val="3F2F4DE1"/>
    <w:rsid w:val="3F823162"/>
    <w:rsid w:val="3FE06C38"/>
    <w:rsid w:val="3FFB4A8E"/>
    <w:rsid w:val="40984505"/>
    <w:rsid w:val="40C17CBA"/>
    <w:rsid w:val="411C6AC4"/>
    <w:rsid w:val="414D3C0A"/>
    <w:rsid w:val="41594397"/>
    <w:rsid w:val="4193257B"/>
    <w:rsid w:val="420A339A"/>
    <w:rsid w:val="433F136A"/>
    <w:rsid w:val="43F42155"/>
    <w:rsid w:val="4437660E"/>
    <w:rsid w:val="45684BA8"/>
    <w:rsid w:val="463E363B"/>
    <w:rsid w:val="468E063F"/>
    <w:rsid w:val="470C6D5D"/>
    <w:rsid w:val="47B007EF"/>
    <w:rsid w:val="481E3009"/>
    <w:rsid w:val="49167231"/>
    <w:rsid w:val="49A07007"/>
    <w:rsid w:val="4A232894"/>
    <w:rsid w:val="4A6C0C97"/>
    <w:rsid w:val="4AD43366"/>
    <w:rsid w:val="4C6A7458"/>
    <w:rsid w:val="4D275349"/>
    <w:rsid w:val="4E1458CD"/>
    <w:rsid w:val="4E8642F1"/>
    <w:rsid w:val="4EAC328B"/>
    <w:rsid w:val="4EE80B08"/>
    <w:rsid w:val="4F876573"/>
    <w:rsid w:val="4F9F38BD"/>
    <w:rsid w:val="4FBB395D"/>
    <w:rsid w:val="506863A4"/>
    <w:rsid w:val="50A461A1"/>
    <w:rsid w:val="50FA4C01"/>
    <w:rsid w:val="5176689F"/>
    <w:rsid w:val="520E190B"/>
    <w:rsid w:val="528368FE"/>
    <w:rsid w:val="52AA6F11"/>
    <w:rsid w:val="536A5F90"/>
    <w:rsid w:val="538928BA"/>
    <w:rsid w:val="53BE26BB"/>
    <w:rsid w:val="53D16DB9"/>
    <w:rsid w:val="53F817ED"/>
    <w:rsid w:val="54030995"/>
    <w:rsid w:val="556E7FB9"/>
    <w:rsid w:val="55821CB6"/>
    <w:rsid w:val="56940E25"/>
    <w:rsid w:val="57021E6E"/>
    <w:rsid w:val="577B4C0F"/>
    <w:rsid w:val="577E1517"/>
    <w:rsid w:val="57AF6EC3"/>
    <w:rsid w:val="58E6430A"/>
    <w:rsid w:val="58F31F52"/>
    <w:rsid w:val="593A6404"/>
    <w:rsid w:val="59FF3D22"/>
    <w:rsid w:val="5A6A4AC7"/>
    <w:rsid w:val="5ABD1400"/>
    <w:rsid w:val="5AC86AB2"/>
    <w:rsid w:val="5B7BB44C"/>
    <w:rsid w:val="5C313AEE"/>
    <w:rsid w:val="5C725809"/>
    <w:rsid w:val="5D752101"/>
    <w:rsid w:val="5D9E1657"/>
    <w:rsid w:val="5E987E55"/>
    <w:rsid w:val="5F64242D"/>
    <w:rsid w:val="5FD66659"/>
    <w:rsid w:val="5FD7552B"/>
    <w:rsid w:val="60196D73"/>
    <w:rsid w:val="6071095D"/>
    <w:rsid w:val="60C345CC"/>
    <w:rsid w:val="60EC092C"/>
    <w:rsid w:val="61071433"/>
    <w:rsid w:val="61504A17"/>
    <w:rsid w:val="632B74E9"/>
    <w:rsid w:val="63C46E35"/>
    <w:rsid w:val="64175CC0"/>
    <w:rsid w:val="64191A38"/>
    <w:rsid w:val="648D7D30"/>
    <w:rsid w:val="654C2136"/>
    <w:rsid w:val="65D55C41"/>
    <w:rsid w:val="6635067F"/>
    <w:rsid w:val="668461D2"/>
    <w:rsid w:val="66CB5ECD"/>
    <w:rsid w:val="66FE4F15"/>
    <w:rsid w:val="67050051"/>
    <w:rsid w:val="670E0E6E"/>
    <w:rsid w:val="672524A2"/>
    <w:rsid w:val="67BC2E06"/>
    <w:rsid w:val="67EC1211"/>
    <w:rsid w:val="68165D64"/>
    <w:rsid w:val="693791A3"/>
    <w:rsid w:val="69450399"/>
    <w:rsid w:val="694806C9"/>
    <w:rsid w:val="69720758"/>
    <w:rsid w:val="698E432E"/>
    <w:rsid w:val="69A134D6"/>
    <w:rsid w:val="69EE74C3"/>
    <w:rsid w:val="6A3F47C7"/>
    <w:rsid w:val="6A6257BB"/>
    <w:rsid w:val="6A632D3A"/>
    <w:rsid w:val="6BBD539F"/>
    <w:rsid w:val="6CDF3EF5"/>
    <w:rsid w:val="6D415B5B"/>
    <w:rsid w:val="6D4A3327"/>
    <w:rsid w:val="6D542225"/>
    <w:rsid w:val="6DD62748"/>
    <w:rsid w:val="6E543C8E"/>
    <w:rsid w:val="6EE02AFC"/>
    <w:rsid w:val="6F257B75"/>
    <w:rsid w:val="6FA46340"/>
    <w:rsid w:val="6FB70357"/>
    <w:rsid w:val="6FBAD7F3"/>
    <w:rsid w:val="6FFB5C50"/>
    <w:rsid w:val="70A30814"/>
    <w:rsid w:val="71096203"/>
    <w:rsid w:val="71681909"/>
    <w:rsid w:val="717E5189"/>
    <w:rsid w:val="718C63B4"/>
    <w:rsid w:val="71E75C0D"/>
    <w:rsid w:val="71F176D9"/>
    <w:rsid w:val="72547143"/>
    <w:rsid w:val="72A6148C"/>
    <w:rsid w:val="72B7721B"/>
    <w:rsid w:val="73092C77"/>
    <w:rsid w:val="731EE269"/>
    <w:rsid w:val="73B4075B"/>
    <w:rsid w:val="74DD43BC"/>
    <w:rsid w:val="75245369"/>
    <w:rsid w:val="75596138"/>
    <w:rsid w:val="75D47694"/>
    <w:rsid w:val="763C3364"/>
    <w:rsid w:val="77867D0D"/>
    <w:rsid w:val="778C5B98"/>
    <w:rsid w:val="77BF6BEC"/>
    <w:rsid w:val="781225CE"/>
    <w:rsid w:val="788756E6"/>
    <w:rsid w:val="798E3ED6"/>
    <w:rsid w:val="79EB3639"/>
    <w:rsid w:val="7A07637D"/>
    <w:rsid w:val="7A2D1941"/>
    <w:rsid w:val="7A2E1A3E"/>
    <w:rsid w:val="7AC61811"/>
    <w:rsid w:val="7B701D2D"/>
    <w:rsid w:val="7BDB284E"/>
    <w:rsid w:val="7C224BDB"/>
    <w:rsid w:val="7C484E09"/>
    <w:rsid w:val="7CD10CAA"/>
    <w:rsid w:val="7D5FE58D"/>
    <w:rsid w:val="7DBD5AA7"/>
    <w:rsid w:val="7DDF302F"/>
    <w:rsid w:val="7DFADCE6"/>
    <w:rsid w:val="7E000B77"/>
    <w:rsid w:val="7E3FFE6C"/>
    <w:rsid w:val="7F210F90"/>
    <w:rsid w:val="7F763271"/>
    <w:rsid w:val="8D3F1E97"/>
    <w:rsid w:val="9D4F768F"/>
    <w:rsid w:val="BCEB05B1"/>
    <w:rsid w:val="BFE372B9"/>
    <w:rsid w:val="DCFE7B9D"/>
    <w:rsid w:val="E3DF609A"/>
    <w:rsid w:val="E57ED7B1"/>
    <w:rsid w:val="EFE75DB6"/>
    <w:rsid w:val="F9FFA1C4"/>
    <w:rsid w:val="FBFFD25D"/>
    <w:rsid w:val="FC7F0033"/>
    <w:rsid w:val="FF7FC3AB"/>
    <w:rsid w:val="FFFE394B"/>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8"/>
    <w:qFormat/>
    <w:uiPriority w:val="9"/>
    <w:pPr>
      <w:widowControl/>
      <w:spacing w:before="100" w:beforeAutospacing="1" w:after="100" w:afterAutospacing="1"/>
      <w:jc w:val="left"/>
      <w:outlineLvl w:val="0"/>
    </w:pPr>
    <w:rPr>
      <w:rFonts w:ascii="宋体" w:hAnsi="宋体" w:eastAsia="宋体" w:cs="宋体"/>
      <w:b/>
      <w:bCs/>
      <w:kern w:val="36"/>
      <w:sz w:val="48"/>
      <w:szCs w:val="48"/>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3">
    <w:name w:val="Normal Indent"/>
    <w:basedOn w:val="1"/>
    <w:next w:val="4"/>
    <w:qFormat/>
    <w:uiPriority w:val="0"/>
    <w:pPr>
      <w:ind w:firstLine="200" w:firstLineChars="200"/>
    </w:pPr>
    <w:rPr>
      <w:rFonts w:ascii="Times New Roman" w:hAnsi="Times New Roman" w:eastAsia="宋体" w:cs="Times New Roman"/>
      <w:kern w:val="2"/>
      <w:szCs w:val="22"/>
    </w:rPr>
  </w:style>
  <w:style w:type="paragraph" w:styleId="4">
    <w:name w:val="Body Text Indent"/>
    <w:basedOn w:val="1"/>
    <w:next w:val="3"/>
    <w:qFormat/>
    <w:uiPriority w:val="0"/>
    <w:pPr>
      <w:spacing w:after="120"/>
      <w:ind w:left="420" w:leftChars="200"/>
    </w:pPr>
  </w:style>
  <w:style w:type="paragraph" w:styleId="5">
    <w:name w:val="Date"/>
    <w:basedOn w:val="1"/>
    <w:next w:val="1"/>
    <w:link w:val="19"/>
    <w:semiHidden/>
    <w:unhideWhenUsed/>
    <w:qFormat/>
    <w:uiPriority w:val="99"/>
    <w:pPr>
      <w:ind w:left="100" w:leftChars="2500"/>
    </w:pPr>
  </w:style>
  <w:style w:type="paragraph" w:styleId="6">
    <w:name w:val="Balloon Text"/>
    <w:basedOn w:val="1"/>
    <w:link w:val="24"/>
    <w:semiHidden/>
    <w:unhideWhenUsed/>
    <w:qFormat/>
    <w:uiPriority w:val="99"/>
    <w:rPr>
      <w:sz w:val="18"/>
      <w:szCs w:val="18"/>
    </w:rPr>
  </w:style>
  <w:style w:type="paragraph" w:styleId="7">
    <w:name w:val="footer"/>
    <w:basedOn w:val="1"/>
    <w:link w:val="17"/>
    <w:unhideWhenUsed/>
    <w:qFormat/>
    <w:uiPriority w:val="99"/>
    <w:pPr>
      <w:tabs>
        <w:tab w:val="center" w:pos="4153"/>
        <w:tab w:val="right" w:pos="8306"/>
      </w:tabs>
      <w:snapToGrid w:val="0"/>
      <w:jc w:val="left"/>
    </w:pPr>
    <w:rPr>
      <w:sz w:val="18"/>
      <w:szCs w:val="18"/>
    </w:rPr>
  </w:style>
  <w:style w:type="paragraph" w:styleId="8">
    <w:name w:val="header"/>
    <w:basedOn w:val="1"/>
    <w:link w:val="16"/>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0">
    <w:name w:val="Body Text First Indent 2"/>
    <w:basedOn w:val="4"/>
    <w:next w:val="1"/>
    <w:qFormat/>
    <w:uiPriority w:val="0"/>
    <w:pPr>
      <w:ind w:firstLine="420" w:firstLineChars="200"/>
    </w:pPr>
  </w:style>
  <w:style w:type="table" w:styleId="12">
    <w:name w:val="Table Grid"/>
    <w:basedOn w:val="1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22"/>
    <w:rPr>
      <w:b/>
      <w:bCs/>
    </w:rPr>
  </w:style>
  <w:style w:type="character" w:styleId="15">
    <w:name w:val="Hyperlink"/>
    <w:qFormat/>
    <w:uiPriority w:val="0"/>
    <w:rPr>
      <w:color w:val="0000FF"/>
      <w:u w:val="single"/>
    </w:rPr>
  </w:style>
  <w:style w:type="character" w:customStyle="1" w:styleId="16">
    <w:name w:val="页眉 Char"/>
    <w:basedOn w:val="13"/>
    <w:link w:val="8"/>
    <w:qFormat/>
    <w:uiPriority w:val="99"/>
    <w:rPr>
      <w:sz w:val="18"/>
      <w:szCs w:val="18"/>
    </w:rPr>
  </w:style>
  <w:style w:type="character" w:customStyle="1" w:styleId="17">
    <w:name w:val="页脚 Char"/>
    <w:basedOn w:val="13"/>
    <w:link w:val="7"/>
    <w:qFormat/>
    <w:uiPriority w:val="99"/>
    <w:rPr>
      <w:sz w:val="18"/>
      <w:szCs w:val="18"/>
    </w:rPr>
  </w:style>
  <w:style w:type="character" w:customStyle="1" w:styleId="18">
    <w:name w:val="标题 1 Char"/>
    <w:basedOn w:val="13"/>
    <w:link w:val="2"/>
    <w:qFormat/>
    <w:uiPriority w:val="9"/>
    <w:rPr>
      <w:rFonts w:ascii="宋体" w:hAnsi="宋体" w:eastAsia="宋体" w:cs="宋体"/>
      <w:b/>
      <w:bCs/>
      <w:kern w:val="36"/>
      <w:sz w:val="48"/>
      <w:szCs w:val="48"/>
    </w:rPr>
  </w:style>
  <w:style w:type="character" w:customStyle="1" w:styleId="19">
    <w:name w:val="日期 Char"/>
    <w:basedOn w:val="13"/>
    <w:link w:val="5"/>
    <w:semiHidden/>
    <w:qFormat/>
    <w:uiPriority w:val="99"/>
  </w:style>
  <w:style w:type="paragraph" w:customStyle="1" w:styleId="20">
    <w:name w:val="正文 New"/>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21">
    <w:name w:val="样式-标题1"/>
    <w:basedOn w:val="22"/>
    <w:qFormat/>
    <w:uiPriority w:val="0"/>
    <w:pPr>
      <w:spacing w:line="640" w:lineRule="exact"/>
      <w:ind w:firstLine="0" w:firstLineChars="0"/>
      <w:jc w:val="center"/>
    </w:pPr>
    <w:rPr>
      <w:rFonts w:eastAsia="微软雅黑"/>
      <w:sz w:val="44"/>
      <w:szCs w:val="44"/>
    </w:rPr>
  </w:style>
  <w:style w:type="paragraph" w:customStyle="1" w:styleId="22">
    <w:name w:val="样式-正文"/>
    <w:basedOn w:val="1"/>
    <w:qFormat/>
    <w:uiPriority w:val="0"/>
    <w:pPr>
      <w:spacing w:line="560" w:lineRule="exact"/>
      <w:ind w:firstLine="640" w:firstLineChars="200"/>
    </w:pPr>
    <w:rPr>
      <w:rFonts w:ascii="Times New Roman" w:hAnsi="Times New Roman" w:eastAsia="仿宋_GB2312"/>
      <w:sz w:val="32"/>
      <w:szCs w:val="32"/>
    </w:rPr>
  </w:style>
  <w:style w:type="paragraph" w:customStyle="1" w:styleId="23">
    <w:name w:val="样式-标题2"/>
    <w:basedOn w:val="22"/>
    <w:qFormat/>
    <w:uiPriority w:val="0"/>
    <w:rPr>
      <w:rFonts w:eastAsia="黑体"/>
    </w:rPr>
  </w:style>
  <w:style w:type="character" w:customStyle="1" w:styleId="24">
    <w:name w:val="批注框文本 Char"/>
    <w:basedOn w:val="13"/>
    <w:link w:val="6"/>
    <w:semiHidden/>
    <w:qFormat/>
    <w:uiPriority w:val="99"/>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Company>HP</Company>
  <Pages>2</Pages>
  <Words>3704</Words>
  <Characters>3957</Characters>
  <Lines>26</Lines>
  <Paragraphs>7</Paragraphs>
  <TotalTime>55</TotalTime>
  <ScaleCrop>false</ScaleCrop>
  <LinksUpToDate>false</LinksUpToDate>
  <CharactersWithSpaces>4160</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2019-09-28T22:52:00Z</dcterms:created>
  <dc:creator>zzm</dc:creator>
  <cp:lastModifiedBy>慢慢爬</cp:lastModifiedBy>
  <cp:lastPrinted>2025-04-09T09:18:00Z</cp:lastPrinted>
  <dcterms:modified xsi:type="dcterms:W3CDTF">2025-04-09T17:31:47Z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C5A311481D804C6EA354DA0C8EFD36AD_13</vt:lpwstr>
  </property>
  <property fmtid="{D5CDD505-2E9C-101B-9397-08002B2CF9AE}" pid="4" name="KSOTemplateDocerSaveRecord">
    <vt:lpwstr>eyJoZGlkIjoiNDZiM2QyYjc2MTY0MWNjMjgxMjIxMDE3MzcxY2YzMDAiLCJ1c2VySWQiOiI0MTIzMzAxOTkifQ==</vt:lpwstr>
  </property>
</Properties>
</file>