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  <w:lang w:val="en-US" w:eastAsia="zh-CN"/>
        </w:rPr>
        <w:t>领导干部须回避的亲属关系信息表</w:t>
      </w:r>
      <w:bookmarkEnd w:id="0"/>
    </w:p>
    <w:tbl>
      <w:tblPr>
        <w:tblStyle w:val="3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37"/>
        <w:gridCol w:w="1472"/>
        <w:gridCol w:w="1009"/>
        <w:gridCol w:w="969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本人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单位名称及应聘岗位</w:t>
            </w:r>
          </w:p>
        </w:tc>
        <w:tc>
          <w:tcPr>
            <w:tcW w:w="46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是否为领导干部须回避的亲属</w:t>
            </w:r>
          </w:p>
        </w:tc>
        <w:tc>
          <w:tcPr>
            <w:tcW w:w="46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工作单位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1.请在上表中如实填写配偶、子女、父母等亲属情况。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.如有须回避的亲属为江西国控集团系统外副厅级（含）以上领导干部、江西国控集团领导班子成员、江西国控集团本部中层干部、公司领导班子成员、公司中层干部、公司所属企业高管人员必须在上表中如实填报，须回避的亲属关系范围见本表背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0"/>
          <w:sz w:val="32"/>
          <w:szCs w:val="21"/>
          <w:lang w:val="en-US" w:eastAsia="zh-CN"/>
        </w:rPr>
        <w:t>本人签名：                     日期：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须回避的亲属关系的范围为：夫妻关系、直系血亲关系、三代以内旁系血亲关系、近婚亲关系。其中，直系血亲关系包括祖父母、外祖父母、父母、子女、孙子女、外孙子女（含：本来无血缘关系，但由法律确认其具有与自然血亲同等的权利义务的亲属，如养父母与养子女、继父母与继子女）；三代以内旁系血亲包括伯叔姑舅姨、兄弟姐妹、堂兄弟姐妹、表兄弟姐妹、侄子女、甥子女；近婚亲关系包括：配偶的父母、配偶的兄弟姐妹及其配偶、子女的配偶及子女配偶的父母、三代以内旁系血亲的配偶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3EC5"/>
    <w:rsid w:val="544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2025-03-27T10:16:00Z</dcterms:created>
  <dc:creator>LENOVO</dc:creator>
  <cp:lastModifiedBy>LENOVO</cp:lastModifiedBy>
  <dcterms:modified xsi:type="dcterms:W3CDTF">2025-03-27T10:16:17Z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