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1FE4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color w:val="auto"/>
          <w:sz w:val="32"/>
          <w:szCs w:val="32"/>
          <w:lang w:eastAsia="zh-CN"/>
        </w:rPr>
        <w:t>附件</w:t>
      </w:r>
      <w:r>
        <w:rPr>
          <w:rFonts w:hint="default" w:ascii="Times New Roman" w:hAnsi="Times New Roman" w:eastAsia="方正仿宋_GBK" w:cs="Times New Roman"/>
          <w:b/>
          <w:bCs/>
          <w:color w:val="auto"/>
          <w:sz w:val="32"/>
          <w:szCs w:val="32"/>
          <w:lang w:val="en-US" w:eastAsia="zh-CN"/>
        </w:rPr>
        <w:t>1</w:t>
      </w:r>
    </w:p>
    <w:p w14:paraId="6CAE2D6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_GBK" w:hAnsi="方正小标宋_GBK" w:eastAsia="方正小标宋_GBK" w:cs="方正小标宋_GBK"/>
          <w:b w:val="0"/>
          <w:bCs w:val="0"/>
          <w:color w:val="auto"/>
          <w:sz w:val="32"/>
          <w:szCs w:val="32"/>
          <w:lang w:eastAsia="zh-CN"/>
        </w:rPr>
      </w:pPr>
      <w:bookmarkStart w:id="0" w:name="_GoBack"/>
      <w:bookmarkEnd w:id="0"/>
      <w:r>
        <w:rPr>
          <w:rFonts w:hint="eastAsia" w:ascii="方正小标宋_GBK" w:hAnsi="方正小标宋_GBK" w:eastAsia="方正小标宋_GBK" w:cs="方正小标宋_GBK"/>
          <w:b w:val="0"/>
          <w:bCs w:val="0"/>
          <w:color w:val="auto"/>
          <w:sz w:val="32"/>
          <w:szCs w:val="32"/>
          <w:lang w:eastAsia="zh-CN"/>
        </w:rPr>
        <w:t>消防员招录体能测试项目及标准</w:t>
      </w:r>
    </w:p>
    <w:tbl>
      <w:tblPr>
        <w:tblStyle w:val="4"/>
        <w:tblpPr w:leftFromText="180" w:rightFromText="180" w:vertAnchor="text" w:horzAnchor="page" w:tblpX="1171" w:tblpY="2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730"/>
        <w:gridCol w:w="820"/>
        <w:gridCol w:w="760"/>
        <w:gridCol w:w="740"/>
        <w:gridCol w:w="720"/>
        <w:gridCol w:w="760"/>
        <w:gridCol w:w="710"/>
        <w:gridCol w:w="720"/>
        <w:gridCol w:w="740"/>
        <w:gridCol w:w="730"/>
        <w:gridCol w:w="630"/>
      </w:tblGrid>
      <w:tr w14:paraId="0E01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151" w:type="dxa"/>
            <w:vMerge w:val="restart"/>
            <w:noWrap w:val="0"/>
            <w:vAlign w:val="center"/>
          </w:tcPr>
          <w:p w14:paraId="0F32344A">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p>
          <w:p w14:paraId="489BA69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p>
          <w:p w14:paraId="7FDE8CC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r>
              <w:rPr>
                <w:rFonts w:hint="eastAsia"/>
                <w:color w:val="auto"/>
                <w:sz w:val="16"/>
                <w:szCs w:val="16"/>
                <w:vertAlign w:val="baseline"/>
                <w:lang w:eastAsia="zh-CN"/>
              </w:rPr>
              <w:t>项</w:t>
            </w:r>
            <w:r>
              <w:rPr>
                <w:rFonts w:hint="eastAsia"/>
                <w:color w:val="auto"/>
                <w:sz w:val="16"/>
                <w:szCs w:val="16"/>
                <w:vertAlign w:val="baseline"/>
                <w:lang w:val="en-US" w:eastAsia="zh-CN"/>
              </w:rPr>
              <w:t xml:space="preserve">  </w:t>
            </w:r>
            <w:r>
              <w:rPr>
                <w:rFonts w:hint="eastAsia"/>
                <w:color w:val="auto"/>
                <w:sz w:val="16"/>
                <w:szCs w:val="16"/>
                <w:vertAlign w:val="baseline"/>
                <w:lang w:eastAsia="zh-CN"/>
              </w:rPr>
              <w:t>目</w:t>
            </w:r>
          </w:p>
        </w:tc>
        <w:tc>
          <w:tcPr>
            <w:tcW w:w="7430" w:type="dxa"/>
            <w:gridSpan w:val="10"/>
            <w:noWrap w:val="0"/>
            <w:vAlign w:val="center"/>
          </w:tcPr>
          <w:p w14:paraId="0049BD1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21"/>
                <w:szCs w:val="21"/>
                <w:vertAlign w:val="baseline"/>
                <w:lang w:eastAsia="zh-CN"/>
              </w:rPr>
            </w:pPr>
            <w:r>
              <w:rPr>
                <w:rFonts w:hint="eastAsia"/>
                <w:b/>
                <w:bCs/>
                <w:color w:val="auto"/>
                <w:sz w:val="21"/>
                <w:szCs w:val="21"/>
                <w:vertAlign w:val="baseline"/>
                <w:lang w:eastAsia="zh-CN"/>
              </w:rPr>
              <w:t>体能测试成绩对应分值、测试办法</w:t>
            </w:r>
          </w:p>
        </w:tc>
        <w:tc>
          <w:tcPr>
            <w:tcW w:w="630" w:type="dxa"/>
            <w:vMerge w:val="restart"/>
            <w:noWrap w:val="0"/>
            <w:vAlign w:val="center"/>
          </w:tcPr>
          <w:p w14:paraId="6620E679">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color w:val="auto"/>
                <w:sz w:val="16"/>
                <w:szCs w:val="16"/>
                <w:vertAlign w:val="baseline"/>
                <w:lang w:eastAsia="zh-CN"/>
              </w:rPr>
            </w:pPr>
            <w:r>
              <w:rPr>
                <w:rFonts w:hint="eastAsia"/>
                <w:color w:val="auto"/>
                <w:sz w:val="16"/>
                <w:szCs w:val="16"/>
                <w:vertAlign w:val="baseline"/>
                <w:lang w:eastAsia="zh-CN"/>
              </w:rPr>
              <w:t>备注</w:t>
            </w:r>
          </w:p>
        </w:tc>
      </w:tr>
      <w:tr w14:paraId="273E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51" w:type="dxa"/>
            <w:vMerge w:val="continue"/>
            <w:noWrap w:val="0"/>
            <w:vAlign w:val="center"/>
          </w:tcPr>
          <w:p w14:paraId="0C7C13A6">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p>
        </w:tc>
        <w:tc>
          <w:tcPr>
            <w:tcW w:w="730" w:type="dxa"/>
            <w:noWrap w:val="0"/>
            <w:vAlign w:val="center"/>
          </w:tcPr>
          <w:p w14:paraId="59CC8572">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1分</w:t>
            </w:r>
          </w:p>
        </w:tc>
        <w:tc>
          <w:tcPr>
            <w:tcW w:w="820" w:type="dxa"/>
            <w:noWrap w:val="0"/>
            <w:vAlign w:val="center"/>
          </w:tcPr>
          <w:p w14:paraId="6CDCF9AF">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2分</w:t>
            </w:r>
          </w:p>
        </w:tc>
        <w:tc>
          <w:tcPr>
            <w:tcW w:w="760" w:type="dxa"/>
            <w:noWrap w:val="0"/>
            <w:vAlign w:val="center"/>
          </w:tcPr>
          <w:p w14:paraId="08B30864">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3分</w:t>
            </w:r>
          </w:p>
        </w:tc>
        <w:tc>
          <w:tcPr>
            <w:tcW w:w="740" w:type="dxa"/>
            <w:noWrap w:val="0"/>
            <w:vAlign w:val="center"/>
          </w:tcPr>
          <w:p w14:paraId="74DFA6AE">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4分</w:t>
            </w:r>
          </w:p>
        </w:tc>
        <w:tc>
          <w:tcPr>
            <w:tcW w:w="720" w:type="dxa"/>
            <w:noWrap w:val="0"/>
            <w:vAlign w:val="center"/>
          </w:tcPr>
          <w:p w14:paraId="462441B5">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5分</w:t>
            </w:r>
          </w:p>
        </w:tc>
        <w:tc>
          <w:tcPr>
            <w:tcW w:w="760" w:type="dxa"/>
            <w:noWrap w:val="0"/>
            <w:vAlign w:val="center"/>
          </w:tcPr>
          <w:p w14:paraId="61E16825">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6分</w:t>
            </w:r>
          </w:p>
        </w:tc>
        <w:tc>
          <w:tcPr>
            <w:tcW w:w="710" w:type="dxa"/>
            <w:noWrap w:val="0"/>
            <w:vAlign w:val="center"/>
          </w:tcPr>
          <w:p w14:paraId="572E5B10">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7分</w:t>
            </w:r>
          </w:p>
        </w:tc>
        <w:tc>
          <w:tcPr>
            <w:tcW w:w="720" w:type="dxa"/>
            <w:noWrap w:val="0"/>
            <w:vAlign w:val="center"/>
          </w:tcPr>
          <w:p w14:paraId="62257775">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8分</w:t>
            </w:r>
          </w:p>
        </w:tc>
        <w:tc>
          <w:tcPr>
            <w:tcW w:w="740" w:type="dxa"/>
            <w:noWrap w:val="0"/>
            <w:vAlign w:val="center"/>
          </w:tcPr>
          <w:p w14:paraId="4A1BB4B4">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9分</w:t>
            </w:r>
          </w:p>
        </w:tc>
        <w:tc>
          <w:tcPr>
            <w:tcW w:w="730" w:type="dxa"/>
            <w:noWrap w:val="0"/>
            <w:vAlign w:val="center"/>
          </w:tcPr>
          <w:p w14:paraId="2C9483F9">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10分</w:t>
            </w:r>
          </w:p>
        </w:tc>
        <w:tc>
          <w:tcPr>
            <w:tcW w:w="630" w:type="dxa"/>
            <w:vMerge w:val="continue"/>
            <w:noWrap w:val="0"/>
            <w:vAlign w:val="center"/>
          </w:tcPr>
          <w:p w14:paraId="4A509A6F">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color w:val="auto"/>
                <w:sz w:val="16"/>
                <w:szCs w:val="16"/>
                <w:vertAlign w:val="baseline"/>
                <w:lang w:eastAsia="zh-CN"/>
              </w:rPr>
            </w:pPr>
          </w:p>
        </w:tc>
      </w:tr>
      <w:tr w14:paraId="4F89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51" w:type="dxa"/>
            <w:vMerge w:val="continue"/>
            <w:noWrap w:val="0"/>
            <w:vAlign w:val="center"/>
          </w:tcPr>
          <w:p w14:paraId="6B5A7E24">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p>
        </w:tc>
        <w:tc>
          <w:tcPr>
            <w:tcW w:w="730" w:type="dxa"/>
            <w:noWrap w:val="0"/>
            <w:vAlign w:val="center"/>
          </w:tcPr>
          <w:p w14:paraId="68DE1DF6">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4′35″</w:t>
            </w:r>
          </w:p>
        </w:tc>
        <w:tc>
          <w:tcPr>
            <w:tcW w:w="820" w:type="dxa"/>
            <w:noWrap w:val="0"/>
            <w:vAlign w:val="center"/>
          </w:tcPr>
          <w:p w14:paraId="5A9A507C">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4′20″</w:t>
            </w:r>
          </w:p>
        </w:tc>
        <w:tc>
          <w:tcPr>
            <w:tcW w:w="760" w:type="dxa"/>
            <w:noWrap w:val="0"/>
            <w:vAlign w:val="center"/>
          </w:tcPr>
          <w:p w14:paraId="7F7ADAB2">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4′15″</w:t>
            </w:r>
          </w:p>
        </w:tc>
        <w:tc>
          <w:tcPr>
            <w:tcW w:w="740" w:type="dxa"/>
            <w:noWrap w:val="0"/>
            <w:vAlign w:val="center"/>
          </w:tcPr>
          <w:p w14:paraId="7014B745">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4′10″</w:t>
            </w:r>
          </w:p>
        </w:tc>
        <w:tc>
          <w:tcPr>
            <w:tcW w:w="720" w:type="dxa"/>
            <w:noWrap w:val="0"/>
            <w:vAlign w:val="center"/>
          </w:tcPr>
          <w:p w14:paraId="4641E9D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4′05″</w:t>
            </w:r>
          </w:p>
        </w:tc>
        <w:tc>
          <w:tcPr>
            <w:tcW w:w="760" w:type="dxa"/>
            <w:noWrap w:val="0"/>
            <w:vAlign w:val="center"/>
          </w:tcPr>
          <w:p w14:paraId="1B1EA811">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4′00″</w:t>
            </w:r>
          </w:p>
        </w:tc>
        <w:tc>
          <w:tcPr>
            <w:tcW w:w="710" w:type="dxa"/>
            <w:noWrap w:val="0"/>
            <w:vAlign w:val="center"/>
          </w:tcPr>
          <w:p w14:paraId="0D12A9D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3′55″</w:t>
            </w:r>
          </w:p>
        </w:tc>
        <w:tc>
          <w:tcPr>
            <w:tcW w:w="720" w:type="dxa"/>
            <w:noWrap w:val="0"/>
            <w:vAlign w:val="center"/>
          </w:tcPr>
          <w:p w14:paraId="19AC7B35">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3′50″</w:t>
            </w:r>
          </w:p>
        </w:tc>
        <w:tc>
          <w:tcPr>
            <w:tcW w:w="740" w:type="dxa"/>
            <w:noWrap w:val="0"/>
            <w:vAlign w:val="center"/>
          </w:tcPr>
          <w:p w14:paraId="4D183ADC">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3′45″</w:t>
            </w:r>
          </w:p>
        </w:tc>
        <w:tc>
          <w:tcPr>
            <w:tcW w:w="730" w:type="dxa"/>
            <w:noWrap w:val="0"/>
            <w:vAlign w:val="center"/>
          </w:tcPr>
          <w:p w14:paraId="38E94D5C">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3′40″</w:t>
            </w:r>
          </w:p>
        </w:tc>
        <w:tc>
          <w:tcPr>
            <w:tcW w:w="630" w:type="dxa"/>
            <w:vMerge w:val="restart"/>
            <w:noWrap w:val="0"/>
            <w:vAlign w:val="center"/>
          </w:tcPr>
          <w:p w14:paraId="736D28B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color w:val="auto"/>
                <w:sz w:val="16"/>
                <w:szCs w:val="16"/>
                <w:vertAlign w:val="baseline"/>
                <w:lang w:eastAsia="zh-CN"/>
              </w:rPr>
            </w:pPr>
            <w:r>
              <w:rPr>
                <w:rFonts w:hint="eastAsia"/>
                <w:color w:val="auto"/>
                <w:sz w:val="16"/>
                <w:szCs w:val="16"/>
                <w:vertAlign w:val="baseline"/>
                <w:lang w:eastAsia="zh-CN"/>
              </w:rPr>
              <w:t>必考项目</w:t>
            </w:r>
          </w:p>
        </w:tc>
      </w:tr>
      <w:tr w14:paraId="6F97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1151" w:type="dxa"/>
            <w:noWrap w:val="0"/>
            <w:vAlign w:val="center"/>
          </w:tcPr>
          <w:p w14:paraId="23CED88E">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p>
          <w:p w14:paraId="369679F3">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1000米跑</w:t>
            </w:r>
          </w:p>
          <w:p w14:paraId="748C5008">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p>
          <w:p w14:paraId="594F848C">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（分、秒）</w:t>
            </w:r>
          </w:p>
        </w:tc>
        <w:tc>
          <w:tcPr>
            <w:tcW w:w="7430" w:type="dxa"/>
            <w:gridSpan w:val="10"/>
            <w:noWrap w:val="0"/>
            <w:vAlign w:val="center"/>
          </w:tcPr>
          <w:p w14:paraId="097773D2">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分组考核。</w:t>
            </w:r>
          </w:p>
          <w:p w14:paraId="3BDB8418">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在平地或跑道上标出起点线，考生从起点线处听到起跑口令后起跑，完成1000米距离到达终点线，记录时间。</w:t>
            </w:r>
          </w:p>
          <w:p w14:paraId="1759B65A">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考核以完成时间计算成绩。</w:t>
            </w:r>
          </w:p>
          <w:p w14:paraId="4129F347">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得分超出10分的每递减5秒增加1分，最高15分。</w:t>
            </w:r>
          </w:p>
          <w:p w14:paraId="69559DD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color w:val="auto"/>
                <w:sz w:val="21"/>
                <w:szCs w:val="21"/>
                <w:vertAlign w:val="baseline"/>
                <w:lang w:val="en-US" w:eastAsia="zh-CN"/>
              </w:rPr>
            </w:pPr>
            <w:r>
              <w:rPr>
                <w:rFonts w:hint="eastAsia"/>
                <w:color w:val="auto"/>
                <w:sz w:val="16"/>
                <w:szCs w:val="16"/>
                <w:vertAlign w:val="baseline"/>
                <w:lang w:val="en-US" w:eastAsia="zh-CN"/>
              </w:rPr>
              <w:t>5、海拔2100-3000米，每增加100米高度标准递增3秒，3100-4000米，每增加100米高度标准递增4秒。</w:t>
            </w:r>
          </w:p>
        </w:tc>
        <w:tc>
          <w:tcPr>
            <w:tcW w:w="630" w:type="dxa"/>
            <w:vMerge w:val="continue"/>
            <w:noWrap w:val="0"/>
            <w:vAlign w:val="center"/>
          </w:tcPr>
          <w:p w14:paraId="3B946DD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color w:val="auto"/>
                <w:sz w:val="16"/>
                <w:szCs w:val="16"/>
                <w:vertAlign w:val="baseline"/>
                <w:lang w:eastAsia="zh-CN"/>
              </w:rPr>
            </w:pPr>
          </w:p>
        </w:tc>
      </w:tr>
      <w:tr w14:paraId="108E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51" w:type="dxa"/>
            <w:vMerge w:val="restart"/>
            <w:noWrap w:val="0"/>
            <w:vAlign w:val="center"/>
          </w:tcPr>
          <w:p w14:paraId="77B32420">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p>
          <w:p w14:paraId="3B2AE090">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p>
          <w:p w14:paraId="250AB7B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r>
              <w:rPr>
                <w:rFonts w:hint="eastAsia"/>
                <w:color w:val="auto"/>
                <w:sz w:val="16"/>
                <w:szCs w:val="16"/>
                <w:vertAlign w:val="baseline"/>
                <w:lang w:eastAsia="zh-CN"/>
              </w:rPr>
              <w:t>原地跳高</w:t>
            </w:r>
          </w:p>
          <w:p w14:paraId="1043813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p>
          <w:p w14:paraId="70AA6E8F">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r>
              <w:rPr>
                <w:rFonts w:hint="eastAsia"/>
                <w:color w:val="auto"/>
                <w:sz w:val="16"/>
                <w:szCs w:val="16"/>
                <w:vertAlign w:val="baseline"/>
                <w:lang w:eastAsia="zh-CN"/>
              </w:rPr>
              <w:t>（厘米）</w:t>
            </w:r>
          </w:p>
        </w:tc>
        <w:tc>
          <w:tcPr>
            <w:tcW w:w="730" w:type="dxa"/>
            <w:noWrap w:val="0"/>
            <w:vAlign w:val="center"/>
          </w:tcPr>
          <w:p w14:paraId="6743681C">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40</w:t>
            </w:r>
          </w:p>
        </w:tc>
        <w:tc>
          <w:tcPr>
            <w:tcW w:w="820" w:type="dxa"/>
            <w:noWrap w:val="0"/>
            <w:vAlign w:val="center"/>
          </w:tcPr>
          <w:p w14:paraId="76EAFDF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47</w:t>
            </w:r>
          </w:p>
        </w:tc>
        <w:tc>
          <w:tcPr>
            <w:tcW w:w="760" w:type="dxa"/>
            <w:noWrap w:val="0"/>
            <w:vAlign w:val="center"/>
          </w:tcPr>
          <w:p w14:paraId="5B98C4E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50</w:t>
            </w:r>
          </w:p>
        </w:tc>
        <w:tc>
          <w:tcPr>
            <w:tcW w:w="740" w:type="dxa"/>
            <w:noWrap w:val="0"/>
            <w:vAlign w:val="center"/>
          </w:tcPr>
          <w:p w14:paraId="1B4E5D56">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53</w:t>
            </w:r>
          </w:p>
        </w:tc>
        <w:tc>
          <w:tcPr>
            <w:tcW w:w="720" w:type="dxa"/>
            <w:noWrap w:val="0"/>
            <w:vAlign w:val="center"/>
          </w:tcPr>
          <w:p w14:paraId="2FD4D7C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55</w:t>
            </w:r>
          </w:p>
        </w:tc>
        <w:tc>
          <w:tcPr>
            <w:tcW w:w="760" w:type="dxa"/>
            <w:noWrap w:val="0"/>
            <w:vAlign w:val="center"/>
          </w:tcPr>
          <w:p w14:paraId="3B754192">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57</w:t>
            </w:r>
          </w:p>
        </w:tc>
        <w:tc>
          <w:tcPr>
            <w:tcW w:w="710" w:type="dxa"/>
            <w:noWrap w:val="0"/>
            <w:vAlign w:val="center"/>
          </w:tcPr>
          <w:p w14:paraId="4AE1C276">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60</w:t>
            </w:r>
          </w:p>
        </w:tc>
        <w:tc>
          <w:tcPr>
            <w:tcW w:w="720" w:type="dxa"/>
            <w:noWrap w:val="0"/>
            <w:vAlign w:val="center"/>
          </w:tcPr>
          <w:p w14:paraId="271AE612">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63</w:t>
            </w:r>
          </w:p>
        </w:tc>
        <w:tc>
          <w:tcPr>
            <w:tcW w:w="740" w:type="dxa"/>
            <w:noWrap w:val="0"/>
            <w:vAlign w:val="center"/>
          </w:tcPr>
          <w:p w14:paraId="1B58844F">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65</w:t>
            </w:r>
          </w:p>
        </w:tc>
        <w:tc>
          <w:tcPr>
            <w:tcW w:w="730" w:type="dxa"/>
            <w:noWrap w:val="0"/>
            <w:vAlign w:val="center"/>
          </w:tcPr>
          <w:p w14:paraId="354C6E1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67</w:t>
            </w:r>
          </w:p>
        </w:tc>
        <w:tc>
          <w:tcPr>
            <w:tcW w:w="630" w:type="dxa"/>
            <w:vMerge w:val="restart"/>
            <w:noWrap w:val="0"/>
            <w:vAlign w:val="center"/>
          </w:tcPr>
          <w:p w14:paraId="04247666">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color w:val="auto"/>
                <w:sz w:val="16"/>
                <w:szCs w:val="16"/>
                <w:vertAlign w:val="baseline"/>
                <w:lang w:eastAsia="zh-CN"/>
              </w:rPr>
            </w:pPr>
          </w:p>
          <w:p w14:paraId="6846C116">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color w:val="auto"/>
                <w:sz w:val="16"/>
                <w:szCs w:val="16"/>
                <w:vertAlign w:val="baseline"/>
                <w:lang w:eastAsia="zh-CN"/>
              </w:rPr>
            </w:pPr>
          </w:p>
          <w:p w14:paraId="3441A7C6">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color w:val="auto"/>
                <w:sz w:val="16"/>
                <w:szCs w:val="16"/>
                <w:vertAlign w:val="baseline"/>
                <w:lang w:eastAsia="zh-CN"/>
              </w:rPr>
            </w:pPr>
            <w:r>
              <w:rPr>
                <w:rFonts w:hint="eastAsia"/>
                <w:color w:val="auto"/>
                <w:sz w:val="16"/>
                <w:szCs w:val="16"/>
                <w:vertAlign w:val="baseline"/>
                <w:lang w:eastAsia="zh-CN"/>
              </w:rPr>
              <w:t>两项任选一项</w:t>
            </w:r>
          </w:p>
        </w:tc>
      </w:tr>
      <w:tr w14:paraId="7B91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trPr>
        <w:tc>
          <w:tcPr>
            <w:tcW w:w="1151" w:type="dxa"/>
            <w:vMerge w:val="continue"/>
            <w:noWrap w:val="0"/>
            <w:vAlign w:val="center"/>
          </w:tcPr>
          <w:p w14:paraId="5DF93E52">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p>
        </w:tc>
        <w:tc>
          <w:tcPr>
            <w:tcW w:w="7430" w:type="dxa"/>
            <w:gridSpan w:val="10"/>
            <w:noWrap w:val="0"/>
            <w:vAlign w:val="center"/>
          </w:tcPr>
          <w:p w14:paraId="65936FFE">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单个或分组考核。</w:t>
            </w:r>
          </w:p>
          <w:p w14:paraId="30A00826">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考生双脚站立靠墙，单手伸直标记中指最高出墙点（示指高度），双脚立定垂直跳起，以单手指尖触墙，测量示指高度与跳起触墙高度之间的距离。两次测试，记录成绩最好的一次。</w:t>
            </w:r>
          </w:p>
          <w:p w14:paraId="27C906DD">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考核以完成跳起高度计算成绩。</w:t>
            </w:r>
          </w:p>
          <w:p w14:paraId="088427F8">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color w:val="auto"/>
                <w:sz w:val="21"/>
                <w:szCs w:val="21"/>
                <w:vertAlign w:val="baseline"/>
                <w:lang w:val="en-US" w:eastAsia="zh-CN"/>
              </w:rPr>
            </w:pPr>
            <w:r>
              <w:rPr>
                <w:rFonts w:hint="eastAsia"/>
                <w:color w:val="auto"/>
                <w:sz w:val="16"/>
                <w:szCs w:val="16"/>
                <w:vertAlign w:val="baseline"/>
                <w:lang w:val="en-US" w:eastAsia="zh-CN"/>
              </w:rPr>
              <w:t>得出超出10分的，每递增3厘米增加1分，最高15分。</w:t>
            </w:r>
          </w:p>
        </w:tc>
        <w:tc>
          <w:tcPr>
            <w:tcW w:w="630" w:type="dxa"/>
            <w:vMerge w:val="continue"/>
            <w:noWrap w:val="0"/>
            <w:vAlign w:val="center"/>
          </w:tcPr>
          <w:p w14:paraId="3C542D4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color w:val="auto"/>
                <w:sz w:val="21"/>
                <w:szCs w:val="21"/>
                <w:vertAlign w:val="baseline"/>
                <w:lang w:eastAsia="zh-CN"/>
              </w:rPr>
            </w:pPr>
          </w:p>
        </w:tc>
      </w:tr>
      <w:tr w14:paraId="6591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51" w:type="dxa"/>
            <w:vMerge w:val="restart"/>
            <w:noWrap w:val="0"/>
            <w:vAlign w:val="center"/>
          </w:tcPr>
          <w:p w14:paraId="1C7DC3DF">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p>
          <w:p w14:paraId="1B9D1C69">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r>
              <w:rPr>
                <w:rFonts w:hint="eastAsia"/>
                <w:color w:val="auto"/>
                <w:sz w:val="16"/>
                <w:szCs w:val="16"/>
                <w:vertAlign w:val="baseline"/>
                <w:lang w:eastAsia="zh-CN"/>
              </w:rPr>
              <w:t>立定跳远</w:t>
            </w:r>
          </w:p>
          <w:p w14:paraId="7017E144">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p>
          <w:p w14:paraId="143B4640">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r>
              <w:rPr>
                <w:rFonts w:hint="eastAsia"/>
                <w:color w:val="auto"/>
                <w:sz w:val="16"/>
                <w:szCs w:val="16"/>
                <w:vertAlign w:val="baseline"/>
                <w:lang w:eastAsia="zh-CN"/>
              </w:rPr>
              <w:t>（米）</w:t>
            </w:r>
          </w:p>
        </w:tc>
        <w:tc>
          <w:tcPr>
            <w:tcW w:w="730" w:type="dxa"/>
            <w:noWrap w:val="0"/>
            <w:vAlign w:val="center"/>
          </w:tcPr>
          <w:p w14:paraId="704934A2">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2.01</w:t>
            </w:r>
          </w:p>
        </w:tc>
        <w:tc>
          <w:tcPr>
            <w:tcW w:w="820" w:type="dxa"/>
            <w:noWrap w:val="0"/>
            <w:vAlign w:val="center"/>
          </w:tcPr>
          <w:p w14:paraId="2E850962">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2.13</w:t>
            </w:r>
          </w:p>
        </w:tc>
        <w:tc>
          <w:tcPr>
            <w:tcW w:w="760" w:type="dxa"/>
            <w:noWrap w:val="0"/>
            <w:vAlign w:val="center"/>
          </w:tcPr>
          <w:p w14:paraId="61F7026F">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2.18</w:t>
            </w:r>
          </w:p>
        </w:tc>
        <w:tc>
          <w:tcPr>
            <w:tcW w:w="740" w:type="dxa"/>
            <w:noWrap w:val="0"/>
            <w:vAlign w:val="center"/>
          </w:tcPr>
          <w:p w14:paraId="303F99A8">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2.23</w:t>
            </w:r>
          </w:p>
        </w:tc>
        <w:tc>
          <w:tcPr>
            <w:tcW w:w="720" w:type="dxa"/>
            <w:noWrap w:val="0"/>
            <w:vAlign w:val="center"/>
          </w:tcPr>
          <w:p w14:paraId="10445BE5">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2.28</w:t>
            </w:r>
          </w:p>
        </w:tc>
        <w:tc>
          <w:tcPr>
            <w:tcW w:w="760" w:type="dxa"/>
            <w:noWrap w:val="0"/>
            <w:vAlign w:val="center"/>
          </w:tcPr>
          <w:p w14:paraId="3A392501">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2.33</w:t>
            </w:r>
          </w:p>
        </w:tc>
        <w:tc>
          <w:tcPr>
            <w:tcW w:w="710" w:type="dxa"/>
            <w:noWrap w:val="0"/>
            <w:vAlign w:val="center"/>
          </w:tcPr>
          <w:p w14:paraId="7927C7F2">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2.38</w:t>
            </w:r>
          </w:p>
        </w:tc>
        <w:tc>
          <w:tcPr>
            <w:tcW w:w="720" w:type="dxa"/>
            <w:noWrap w:val="0"/>
            <w:vAlign w:val="center"/>
          </w:tcPr>
          <w:p w14:paraId="08CFEE3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2.43</w:t>
            </w:r>
          </w:p>
        </w:tc>
        <w:tc>
          <w:tcPr>
            <w:tcW w:w="740" w:type="dxa"/>
            <w:noWrap w:val="0"/>
            <w:vAlign w:val="center"/>
          </w:tcPr>
          <w:p w14:paraId="36D7119C">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2.48</w:t>
            </w:r>
          </w:p>
        </w:tc>
        <w:tc>
          <w:tcPr>
            <w:tcW w:w="730" w:type="dxa"/>
            <w:noWrap w:val="0"/>
            <w:vAlign w:val="center"/>
          </w:tcPr>
          <w:p w14:paraId="1811548A">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2.53</w:t>
            </w:r>
          </w:p>
        </w:tc>
        <w:tc>
          <w:tcPr>
            <w:tcW w:w="630" w:type="dxa"/>
            <w:vMerge w:val="continue"/>
            <w:noWrap w:val="0"/>
            <w:vAlign w:val="center"/>
          </w:tcPr>
          <w:p w14:paraId="29A99583">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color w:val="auto"/>
                <w:sz w:val="21"/>
                <w:szCs w:val="21"/>
                <w:vertAlign w:val="baseline"/>
                <w:lang w:eastAsia="zh-CN"/>
              </w:rPr>
            </w:pPr>
          </w:p>
        </w:tc>
      </w:tr>
      <w:tr w14:paraId="2D7A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1151" w:type="dxa"/>
            <w:vMerge w:val="continue"/>
            <w:noWrap w:val="0"/>
            <w:vAlign w:val="center"/>
          </w:tcPr>
          <w:p w14:paraId="4D55AFB0">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color w:val="auto"/>
                <w:sz w:val="21"/>
                <w:szCs w:val="21"/>
                <w:vertAlign w:val="baseline"/>
                <w:lang w:eastAsia="zh-CN"/>
              </w:rPr>
            </w:pPr>
          </w:p>
        </w:tc>
        <w:tc>
          <w:tcPr>
            <w:tcW w:w="7430" w:type="dxa"/>
            <w:gridSpan w:val="10"/>
            <w:noWrap w:val="0"/>
            <w:vAlign w:val="center"/>
          </w:tcPr>
          <w:p w14:paraId="4E8BD0D7">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单个或分组考核。</w:t>
            </w:r>
          </w:p>
          <w:p w14:paraId="2497EA3B">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在跑道或平地上标出起跳线，考生站立在起跳线后，脚尖不得踩线，脚尖不得离开地面，两脚原地同时起跳，不得有助跑、垫脚或连跳动作，测量起跳线后沿至身体任何着地最近点后沿的垂直距离。两次测试，记录成绩最好的1次。</w:t>
            </w:r>
          </w:p>
          <w:p w14:paraId="611F6394">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考生以完成跳出长度计算成绩。</w:t>
            </w:r>
          </w:p>
          <w:p w14:paraId="12DDC4E4">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得分超出10分的，每递增5厘米增加1分，最高15分。</w:t>
            </w:r>
          </w:p>
          <w:p w14:paraId="7D6D70B0">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color w:val="auto"/>
                <w:sz w:val="21"/>
                <w:szCs w:val="21"/>
                <w:vertAlign w:val="baseline"/>
                <w:lang w:val="en-US" w:eastAsia="zh-CN"/>
              </w:rPr>
            </w:pPr>
          </w:p>
        </w:tc>
        <w:tc>
          <w:tcPr>
            <w:tcW w:w="630" w:type="dxa"/>
            <w:vMerge w:val="continue"/>
            <w:noWrap w:val="0"/>
            <w:vAlign w:val="center"/>
          </w:tcPr>
          <w:p w14:paraId="02D4089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color w:val="auto"/>
                <w:sz w:val="21"/>
                <w:szCs w:val="21"/>
                <w:vertAlign w:val="baseline"/>
                <w:lang w:eastAsia="zh-CN"/>
              </w:rPr>
            </w:pPr>
          </w:p>
        </w:tc>
      </w:tr>
    </w:tbl>
    <w:tbl>
      <w:tblPr>
        <w:tblStyle w:val="4"/>
        <w:tblpPr w:leftFromText="180" w:rightFromText="180" w:vertAnchor="text" w:horzAnchor="page" w:tblpX="1197"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910"/>
        <w:gridCol w:w="720"/>
        <w:gridCol w:w="640"/>
        <w:gridCol w:w="600"/>
        <w:gridCol w:w="670"/>
        <w:gridCol w:w="718"/>
        <w:gridCol w:w="672"/>
        <w:gridCol w:w="710"/>
        <w:gridCol w:w="570"/>
        <w:gridCol w:w="856"/>
        <w:gridCol w:w="734"/>
      </w:tblGrid>
      <w:tr w14:paraId="239F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15" w:type="dxa"/>
            <w:vMerge w:val="restart"/>
            <w:noWrap w:val="0"/>
            <w:vAlign w:val="center"/>
          </w:tcPr>
          <w:p w14:paraId="37410A04">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p>
          <w:p w14:paraId="6FC0CCB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p>
          <w:p w14:paraId="181BCB94">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r>
              <w:rPr>
                <w:rFonts w:hint="eastAsia"/>
                <w:color w:val="auto"/>
                <w:sz w:val="16"/>
                <w:szCs w:val="16"/>
                <w:vertAlign w:val="baseline"/>
                <w:lang w:eastAsia="zh-CN"/>
              </w:rPr>
              <w:t>项</w:t>
            </w:r>
            <w:r>
              <w:rPr>
                <w:rFonts w:hint="eastAsia"/>
                <w:color w:val="auto"/>
                <w:sz w:val="16"/>
                <w:szCs w:val="16"/>
                <w:vertAlign w:val="baseline"/>
                <w:lang w:val="en-US" w:eastAsia="zh-CN"/>
              </w:rPr>
              <w:t xml:space="preserve">  </w:t>
            </w:r>
            <w:r>
              <w:rPr>
                <w:rFonts w:hint="eastAsia"/>
                <w:color w:val="auto"/>
                <w:sz w:val="16"/>
                <w:szCs w:val="16"/>
                <w:vertAlign w:val="baseline"/>
                <w:lang w:eastAsia="zh-CN"/>
              </w:rPr>
              <w:t>目</w:t>
            </w:r>
          </w:p>
        </w:tc>
        <w:tc>
          <w:tcPr>
            <w:tcW w:w="7066" w:type="dxa"/>
            <w:gridSpan w:val="10"/>
            <w:noWrap w:val="0"/>
            <w:vAlign w:val="center"/>
          </w:tcPr>
          <w:p w14:paraId="429E6210">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r>
              <w:rPr>
                <w:rFonts w:hint="eastAsia"/>
                <w:b/>
                <w:bCs/>
                <w:color w:val="auto"/>
                <w:sz w:val="16"/>
                <w:szCs w:val="16"/>
                <w:vertAlign w:val="baseline"/>
                <w:lang w:eastAsia="zh-CN"/>
              </w:rPr>
              <w:t>体能测试成绩对应分值、测试办法</w:t>
            </w:r>
          </w:p>
          <w:p w14:paraId="5BD602C6">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p>
        </w:tc>
        <w:tc>
          <w:tcPr>
            <w:tcW w:w="734" w:type="dxa"/>
            <w:noWrap w:val="0"/>
            <w:vAlign w:val="center"/>
          </w:tcPr>
          <w:p w14:paraId="408B624E">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r>
              <w:rPr>
                <w:rFonts w:hint="eastAsia"/>
                <w:color w:val="auto"/>
                <w:sz w:val="16"/>
                <w:szCs w:val="16"/>
                <w:vertAlign w:val="baseline"/>
                <w:lang w:eastAsia="zh-CN"/>
              </w:rPr>
              <w:t>备注</w:t>
            </w:r>
          </w:p>
        </w:tc>
      </w:tr>
      <w:tr w14:paraId="4F16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15" w:type="dxa"/>
            <w:vMerge w:val="continue"/>
            <w:noWrap w:val="0"/>
            <w:vAlign w:val="center"/>
          </w:tcPr>
          <w:p w14:paraId="5785CBDC">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p>
        </w:tc>
        <w:tc>
          <w:tcPr>
            <w:tcW w:w="910" w:type="dxa"/>
            <w:noWrap w:val="0"/>
            <w:vAlign w:val="center"/>
          </w:tcPr>
          <w:p w14:paraId="660F1776">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1分</w:t>
            </w:r>
          </w:p>
        </w:tc>
        <w:tc>
          <w:tcPr>
            <w:tcW w:w="720" w:type="dxa"/>
            <w:noWrap w:val="0"/>
            <w:vAlign w:val="center"/>
          </w:tcPr>
          <w:p w14:paraId="52799D12">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2分</w:t>
            </w:r>
          </w:p>
        </w:tc>
        <w:tc>
          <w:tcPr>
            <w:tcW w:w="640" w:type="dxa"/>
            <w:noWrap w:val="0"/>
            <w:vAlign w:val="center"/>
          </w:tcPr>
          <w:p w14:paraId="25E2F7EF">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3分</w:t>
            </w:r>
          </w:p>
        </w:tc>
        <w:tc>
          <w:tcPr>
            <w:tcW w:w="600" w:type="dxa"/>
            <w:noWrap w:val="0"/>
            <w:vAlign w:val="center"/>
          </w:tcPr>
          <w:p w14:paraId="7EAAB6B8">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4分</w:t>
            </w:r>
          </w:p>
        </w:tc>
        <w:tc>
          <w:tcPr>
            <w:tcW w:w="670" w:type="dxa"/>
            <w:noWrap w:val="0"/>
            <w:vAlign w:val="center"/>
          </w:tcPr>
          <w:p w14:paraId="2DDD381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5分</w:t>
            </w:r>
          </w:p>
        </w:tc>
        <w:tc>
          <w:tcPr>
            <w:tcW w:w="718" w:type="dxa"/>
            <w:noWrap w:val="0"/>
            <w:vAlign w:val="center"/>
          </w:tcPr>
          <w:p w14:paraId="3354716F">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6分</w:t>
            </w:r>
          </w:p>
        </w:tc>
        <w:tc>
          <w:tcPr>
            <w:tcW w:w="672" w:type="dxa"/>
            <w:noWrap w:val="0"/>
            <w:vAlign w:val="center"/>
          </w:tcPr>
          <w:p w14:paraId="11C3AD05">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7分</w:t>
            </w:r>
          </w:p>
        </w:tc>
        <w:tc>
          <w:tcPr>
            <w:tcW w:w="710" w:type="dxa"/>
            <w:noWrap w:val="0"/>
            <w:vAlign w:val="center"/>
          </w:tcPr>
          <w:p w14:paraId="4EA0814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8分</w:t>
            </w:r>
          </w:p>
        </w:tc>
        <w:tc>
          <w:tcPr>
            <w:tcW w:w="570" w:type="dxa"/>
            <w:noWrap w:val="0"/>
            <w:vAlign w:val="center"/>
          </w:tcPr>
          <w:p w14:paraId="453D515E">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9分</w:t>
            </w:r>
          </w:p>
        </w:tc>
        <w:tc>
          <w:tcPr>
            <w:tcW w:w="856" w:type="dxa"/>
            <w:noWrap w:val="0"/>
            <w:vAlign w:val="center"/>
          </w:tcPr>
          <w:p w14:paraId="2ADF3A9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10分</w:t>
            </w:r>
          </w:p>
        </w:tc>
        <w:tc>
          <w:tcPr>
            <w:tcW w:w="734" w:type="dxa"/>
            <w:noWrap w:val="0"/>
            <w:vAlign w:val="center"/>
          </w:tcPr>
          <w:p w14:paraId="27F8D5EE">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p>
        </w:tc>
      </w:tr>
      <w:tr w14:paraId="6E1D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215" w:type="dxa"/>
            <w:vMerge w:val="continue"/>
            <w:noWrap w:val="0"/>
            <w:vAlign w:val="center"/>
          </w:tcPr>
          <w:p w14:paraId="68A62968">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p>
        </w:tc>
        <w:tc>
          <w:tcPr>
            <w:tcW w:w="910" w:type="dxa"/>
            <w:noWrap w:val="0"/>
            <w:vAlign w:val="center"/>
          </w:tcPr>
          <w:p w14:paraId="6244B6F8">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w:t>
            </w:r>
          </w:p>
        </w:tc>
        <w:tc>
          <w:tcPr>
            <w:tcW w:w="720" w:type="dxa"/>
            <w:noWrap w:val="0"/>
            <w:vAlign w:val="center"/>
          </w:tcPr>
          <w:p w14:paraId="1C539721">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1</w:t>
            </w:r>
          </w:p>
        </w:tc>
        <w:tc>
          <w:tcPr>
            <w:tcW w:w="640" w:type="dxa"/>
            <w:noWrap w:val="0"/>
            <w:vAlign w:val="center"/>
          </w:tcPr>
          <w:p w14:paraId="041675E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2</w:t>
            </w:r>
          </w:p>
        </w:tc>
        <w:tc>
          <w:tcPr>
            <w:tcW w:w="600" w:type="dxa"/>
            <w:noWrap w:val="0"/>
            <w:vAlign w:val="center"/>
          </w:tcPr>
          <w:p w14:paraId="22A409B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3</w:t>
            </w:r>
          </w:p>
        </w:tc>
        <w:tc>
          <w:tcPr>
            <w:tcW w:w="670" w:type="dxa"/>
            <w:noWrap w:val="0"/>
            <w:vAlign w:val="center"/>
          </w:tcPr>
          <w:p w14:paraId="10EABB84">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4</w:t>
            </w:r>
          </w:p>
        </w:tc>
        <w:tc>
          <w:tcPr>
            <w:tcW w:w="718" w:type="dxa"/>
            <w:noWrap w:val="0"/>
            <w:vAlign w:val="center"/>
          </w:tcPr>
          <w:p w14:paraId="5474AB83">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5</w:t>
            </w:r>
          </w:p>
        </w:tc>
        <w:tc>
          <w:tcPr>
            <w:tcW w:w="672" w:type="dxa"/>
            <w:noWrap w:val="0"/>
            <w:vAlign w:val="center"/>
          </w:tcPr>
          <w:p w14:paraId="78F83BA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6</w:t>
            </w:r>
          </w:p>
        </w:tc>
        <w:tc>
          <w:tcPr>
            <w:tcW w:w="710" w:type="dxa"/>
            <w:noWrap w:val="0"/>
            <w:vAlign w:val="center"/>
          </w:tcPr>
          <w:p w14:paraId="6AF4028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7</w:t>
            </w:r>
          </w:p>
        </w:tc>
        <w:tc>
          <w:tcPr>
            <w:tcW w:w="570" w:type="dxa"/>
            <w:noWrap w:val="0"/>
            <w:vAlign w:val="center"/>
          </w:tcPr>
          <w:p w14:paraId="01B23781">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9</w:t>
            </w:r>
          </w:p>
        </w:tc>
        <w:tc>
          <w:tcPr>
            <w:tcW w:w="856" w:type="dxa"/>
            <w:noWrap w:val="0"/>
            <w:vAlign w:val="center"/>
          </w:tcPr>
          <w:p w14:paraId="0380E646">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11</w:t>
            </w:r>
          </w:p>
        </w:tc>
        <w:tc>
          <w:tcPr>
            <w:tcW w:w="734" w:type="dxa"/>
            <w:vMerge w:val="restart"/>
            <w:noWrap w:val="0"/>
            <w:vAlign w:val="center"/>
          </w:tcPr>
          <w:p w14:paraId="44FCA790">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p>
          <w:p w14:paraId="1FF65C7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r>
              <w:rPr>
                <w:rFonts w:hint="eastAsia"/>
                <w:color w:val="auto"/>
                <w:sz w:val="16"/>
                <w:szCs w:val="16"/>
                <w:vertAlign w:val="baseline"/>
                <w:lang w:eastAsia="zh-CN"/>
              </w:rPr>
              <w:t>两项任选一项</w:t>
            </w:r>
          </w:p>
        </w:tc>
      </w:tr>
      <w:tr w14:paraId="46CC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215" w:type="dxa"/>
            <w:noWrap w:val="0"/>
            <w:vAlign w:val="center"/>
          </w:tcPr>
          <w:p w14:paraId="0D9582F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p>
          <w:p w14:paraId="5041C4C2">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单杠引体向上</w:t>
            </w:r>
          </w:p>
          <w:p w14:paraId="59BE09B1">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（次/2分钟）</w:t>
            </w:r>
          </w:p>
        </w:tc>
        <w:tc>
          <w:tcPr>
            <w:tcW w:w="7066" w:type="dxa"/>
            <w:gridSpan w:val="10"/>
            <w:noWrap w:val="0"/>
            <w:vAlign w:val="top"/>
          </w:tcPr>
          <w:p w14:paraId="37536299">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1、单个或分组考核。</w:t>
            </w:r>
          </w:p>
          <w:p w14:paraId="0C5DC998">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2、按照规定动作要领完成动作。引体时下颚高于杠面、身体不得借助振浪或摆动、悬垂时双肘关节伸直；脚触及地面或立柱，结束考核。</w:t>
            </w:r>
          </w:p>
          <w:p w14:paraId="2F88CC9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3、考核以完成次数计算成绩。</w:t>
            </w:r>
          </w:p>
          <w:p w14:paraId="0A44CA4A">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color w:val="auto"/>
                <w:sz w:val="16"/>
                <w:szCs w:val="16"/>
                <w:vertAlign w:val="baseline"/>
                <w:lang w:eastAsia="zh-CN"/>
              </w:rPr>
            </w:pPr>
            <w:r>
              <w:rPr>
                <w:rFonts w:hint="eastAsia"/>
                <w:color w:val="auto"/>
                <w:sz w:val="16"/>
                <w:szCs w:val="16"/>
                <w:vertAlign w:val="baseline"/>
                <w:lang w:val="en-US" w:eastAsia="zh-CN"/>
              </w:rPr>
              <w:t>4、得分超出10分的每递增2次增加1分，最高15分。</w:t>
            </w:r>
          </w:p>
        </w:tc>
        <w:tc>
          <w:tcPr>
            <w:tcW w:w="734" w:type="dxa"/>
            <w:vMerge w:val="continue"/>
            <w:noWrap w:val="0"/>
            <w:vAlign w:val="top"/>
          </w:tcPr>
          <w:p w14:paraId="2FC0CE8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color w:val="auto"/>
                <w:sz w:val="16"/>
                <w:szCs w:val="16"/>
                <w:vertAlign w:val="baseline"/>
                <w:lang w:val="en-US" w:eastAsia="zh-CN"/>
              </w:rPr>
            </w:pPr>
          </w:p>
        </w:tc>
      </w:tr>
      <w:tr w14:paraId="06A7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15" w:type="dxa"/>
            <w:vMerge w:val="restart"/>
            <w:noWrap w:val="0"/>
            <w:vAlign w:val="center"/>
          </w:tcPr>
          <w:p w14:paraId="41876236">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p>
          <w:p w14:paraId="09143FCE">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p>
          <w:p w14:paraId="45B9EA10">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r>
              <w:rPr>
                <w:rFonts w:hint="eastAsia"/>
                <w:color w:val="auto"/>
                <w:sz w:val="16"/>
                <w:szCs w:val="16"/>
                <w:vertAlign w:val="baseline"/>
                <w:lang w:eastAsia="zh-CN"/>
              </w:rPr>
              <w:t>俯卧撑</w:t>
            </w:r>
          </w:p>
          <w:p w14:paraId="58B9D0CA">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r>
              <w:rPr>
                <w:rFonts w:hint="eastAsia"/>
                <w:color w:val="auto"/>
                <w:sz w:val="16"/>
                <w:szCs w:val="16"/>
                <w:vertAlign w:val="baseline"/>
                <w:lang w:eastAsia="zh-CN"/>
              </w:rPr>
              <w:t>（</w:t>
            </w:r>
            <w:r>
              <w:rPr>
                <w:rFonts w:hint="eastAsia"/>
                <w:color w:val="auto"/>
                <w:sz w:val="16"/>
                <w:szCs w:val="16"/>
                <w:vertAlign w:val="baseline"/>
                <w:lang w:val="en-US" w:eastAsia="zh-CN"/>
              </w:rPr>
              <w:t>次/2分钟</w:t>
            </w:r>
            <w:r>
              <w:rPr>
                <w:rFonts w:hint="eastAsia"/>
                <w:color w:val="auto"/>
                <w:sz w:val="16"/>
                <w:szCs w:val="16"/>
                <w:vertAlign w:val="baseline"/>
                <w:lang w:eastAsia="zh-CN"/>
              </w:rPr>
              <w:t>）</w:t>
            </w:r>
          </w:p>
        </w:tc>
        <w:tc>
          <w:tcPr>
            <w:tcW w:w="910" w:type="dxa"/>
            <w:noWrap w:val="0"/>
            <w:vAlign w:val="top"/>
          </w:tcPr>
          <w:p w14:paraId="77EC4060">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6</w:t>
            </w:r>
          </w:p>
        </w:tc>
        <w:tc>
          <w:tcPr>
            <w:tcW w:w="720" w:type="dxa"/>
            <w:noWrap w:val="0"/>
            <w:vAlign w:val="top"/>
          </w:tcPr>
          <w:p w14:paraId="6710D2A0">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8</w:t>
            </w:r>
          </w:p>
        </w:tc>
        <w:tc>
          <w:tcPr>
            <w:tcW w:w="640" w:type="dxa"/>
            <w:noWrap w:val="0"/>
            <w:vAlign w:val="top"/>
          </w:tcPr>
          <w:p w14:paraId="0DCE58E3">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11</w:t>
            </w:r>
          </w:p>
        </w:tc>
        <w:tc>
          <w:tcPr>
            <w:tcW w:w="600" w:type="dxa"/>
            <w:noWrap w:val="0"/>
            <w:vAlign w:val="top"/>
          </w:tcPr>
          <w:p w14:paraId="565179B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14</w:t>
            </w:r>
          </w:p>
        </w:tc>
        <w:tc>
          <w:tcPr>
            <w:tcW w:w="670" w:type="dxa"/>
            <w:noWrap w:val="0"/>
            <w:vAlign w:val="top"/>
          </w:tcPr>
          <w:p w14:paraId="196DB48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18</w:t>
            </w:r>
          </w:p>
        </w:tc>
        <w:tc>
          <w:tcPr>
            <w:tcW w:w="718" w:type="dxa"/>
            <w:noWrap w:val="0"/>
            <w:vAlign w:val="top"/>
          </w:tcPr>
          <w:p w14:paraId="69961679">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22</w:t>
            </w:r>
          </w:p>
        </w:tc>
        <w:tc>
          <w:tcPr>
            <w:tcW w:w="672" w:type="dxa"/>
            <w:noWrap w:val="0"/>
            <w:vAlign w:val="top"/>
          </w:tcPr>
          <w:p w14:paraId="5FCA5BE2">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27</w:t>
            </w:r>
          </w:p>
        </w:tc>
        <w:tc>
          <w:tcPr>
            <w:tcW w:w="710" w:type="dxa"/>
            <w:noWrap w:val="0"/>
            <w:vAlign w:val="top"/>
          </w:tcPr>
          <w:p w14:paraId="03B9D03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32</w:t>
            </w:r>
          </w:p>
        </w:tc>
        <w:tc>
          <w:tcPr>
            <w:tcW w:w="570" w:type="dxa"/>
            <w:noWrap w:val="0"/>
            <w:vAlign w:val="top"/>
          </w:tcPr>
          <w:p w14:paraId="5CD46135">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38</w:t>
            </w:r>
          </w:p>
        </w:tc>
        <w:tc>
          <w:tcPr>
            <w:tcW w:w="856" w:type="dxa"/>
            <w:noWrap w:val="0"/>
            <w:vAlign w:val="top"/>
          </w:tcPr>
          <w:p w14:paraId="017D3AC8">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r>
              <w:rPr>
                <w:rFonts w:hint="eastAsia"/>
                <w:color w:val="auto"/>
                <w:sz w:val="16"/>
                <w:szCs w:val="16"/>
                <w:vertAlign w:val="baseline"/>
                <w:lang w:val="en-US" w:eastAsia="zh-CN"/>
              </w:rPr>
              <w:t>42</w:t>
            </w:r>
          </w:p>
        </w:tc>
        <w:tc>
          <w:tcPr>
            <w:tcW w:w="734" w:type="dxa"/>
            <w:vMerge w:val="continue"/>
            <w:noWrap w:val="0"/>
            <w:vAlign w:val="top"/>
          </w:tcPr>
          <w:p w14:paraId="5F92BAB9">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p>
        </w:tc>
      </w:tr>
      <w:tr w14:paraId="7ADF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1215" w:type="dxa"/>
            <w:vMerge w:val="continue"/>
            <w:noWrap w:val="0"/>
            <w:vAlign w:val="center"/>
          </w:tcPr>
          <w:p w14:paraId="2A42AA41">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p>
        </w:tc>
        <w:tc>
          <w:tcPr>
            <w:tcW w:w="7066" w:type="dxa"/>
            <w:gridSpan w:val="10"/>
            <w:noWrap w:val="0"/>
            <w:vAlign w:val="top"/>
          </w:tcPr>
          <w:p w14:paraId="0DBE3C41">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1、单个或分组考核。</w:t>
            </w:r>
          </w:p>
          <w:p w14:paraId="2C7618F1">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2、按照规定动作要领完成动作，屈臂时肩关节低于或等于肘关节，伸臂时双肘关节未伸直、做动作时身体未保持平直，该次动作不计数；除手脚外身体其他部位触及地面，结束考核。</w:t>
            </w:r>
          </w:p>
          <w:p w14:paraId="68392B38">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3、考核以完成次数计算成绩。</w:t>
            </w:r>
          </w:p>
          <w:p w14:paraId="7B99DC15">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color w:val="auto"/>
                <w:sz w:val="16"/>
                <w:szCs w:val="16"/>
                <w:vertAlign w:val="baseline"/>
                <w:lang w:eastAsia="zh-CN"/>
              </w:rPr>
            </w:pPr>
            <w:r>
              <w:rPr>
                <w:rFonts w:hint="eastAsia"/>
                <w:color w:val="auto"/>
                <w:sz w:val="16"/>
                <w:szCs w:val="16"/>
                <w:vertAlign w:val="baseline"/>
                <w:lang w:val="en-US" w:eastAsia="zh-CN"/>
              </w:rPr>
              <w:t>4、得分超出10分的每递增6次增加1分，最高15分。</w:t>
            </w:r>
          </w:p>
        </w:tc>
        <w:tc>
          <w:tcPr>
            <w:tcW w:w="734" w:type="dxa"/>
            <w:vMerge w:val="continue"/>
            <w:noWrap w:val="0"/>
            <w:vAlign w:val="top"/>
          </w:tcPr>
          <w:p w14:paraId="2582163F">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color w:val="auto"/>
                <w:sz w:val="16"/>
                <w:szCs w:val="16"/>
                <w:vertAlign w:val="baseline"/>
                <w:lang w:val="en-US" w:eastAsia="zh-CN"/>
              </w:rPr>
            </w:pPr>
          </w:p>
        </w:tc>
      </w:tr>
      <w:tr w14:paraId="0F9E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15" w:type="dxa"/>
            <w:vMerge w:val="restart"/>
            <w:noWrap w:val="0"/>
            <w:vAlign w:val="center"/>
          </w:tcPr>
          <w:p w14:paraId="1E3FD301">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p>
          <w:p w14:paraId="7BC99F2E">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10米x4往返跑</w:t>
            </w:r>
          </w:p>
          <w:p w14:paraId="1664020C">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（秒）</w:t>
            </w:r>
          </w:p>
        </w:tc>
        <w:tc>
          <w:tcPr>
            <w:tcW w:w="910" w:type="dxa"/>
            <w:noWrap w:val="0"/>
            <w:vAlign w:val="center"/>
          </w:tcPr>
          <w:p w14:paraId="75A13642">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14″3</w:t>
            </w:r>
          </w:p>
        </w:tc>
        <w:tc>
          <w:tcPr>
            <w:tcW w:w="720" w:type="dxa"/>
            <w:noWrap w:val="0"/>
            <w:vAlign w:val="center"/>
          </w:tcPr>
          <w:p w14:paraId="4D24B668">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15″9</w:t>
            </w:r>
          </w:p>
        </w:tc>
        <w:tc>
          <w:tcPr>
            <w:tcW w:w="640" w:type="dxa"/>
            <w:noWrap w:val="0"/>
            <w:vAlign w:val="center"/>
          </w:tcPr>
          <w:p w14:paraId="641F637C">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15″6</w:t>
            </w:r>
          </w:p>
        </w:tc>
        <w:tc>
          <w:tcPr>
            <w:tcW w:w="600" w:type="dxa"/>
            <w:noWrap w:val="0"/>
            <w:vAlign w:val="center"/>
          </w:tcPr>
          <w:p w14:paraId="7A28C0B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15″3</w:t>
            </w:r>
          </w:p>
        </w:tc>
        <w:tc>
          <w:tcPr>
            <w:tcW w:w="670" w:type="dxa"/>
            <w:noWrap w:val="0"/>
            <w:vAlign w:val="center"/>
          </w:tcPr>
          <w:p w14:paraId="6E4368D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15″0</w:t>
            </w:r>
          </w:p>
        </w:tc>
        <w:tc>
          <w:tcPr>
            <w:tcW w:w="718" w:type="dxa"/>
            <w:noWrap w:val="0"/>
            <w:vAlign w:val="center"/>
          </w:tcPr>
          <w:p w14:paraId="6288404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14″7</w:t>
            </w:r>
          </w:p>
        </w:tc>
        <w:tc>
          <w:tcPr>
            <w:tcW w:w="672" w:type="dxa"/>
            <w:noWrap w:val="0"/>
            <w:vAlign w:val="center"/>
          </w:tcPr>
          <w:p w14:paraId="3C2B7BDA">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14″4</w:t>
            </w:r>
          </w:p>
        </w:tc>
        <w:tc>
          <w:tcPr>
            <w:tcW w:w="710" w:type="dxa"/>
            <w:noWrap w:val="0"/>
            <w:vAlign w:val="center"/>
          </w:tcPr>
          <w:p w14:paraId="368A92CC">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14″1</w:t>
            </w:r>
          </w:p>
        </w:tc>
        <w:tc>
          <w:tcPr>
            <w:tcW w:w="570" w:type="dxa"/>
            <w:noWrap w:val="0"/>
            <w:vAlign w:val="center"/>
          </w:tcPr>
          <w:p w14:paraId="498EA15F">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13″8</w:t>
            </w:r>
          </w:p>
        </w:tc>
        <w:tc>
          <w:tcPr>
            <w:tcW w:w="856" w:type="dxa"/>
            <w:noWrap w:val="0"/>
            <w:vAlign w:val="center"/>
          </w:tcPr>
          <w:p w14:paraId="0A374F58">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13″5</w:t>
            </w:r>
          </w:p>
        </w:tc>
        <w:tc>
          <w:tcPr>
            <w:tcW w:w="734" w:type="dxa"/>
            <w:vMerge w:val="restart"/>
            <w:noWrap w:val="0"/>
            <w:vAlign w:val="center"/>
          </w:tcPr>
          <w:p w14:paraId="7106ED29">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p>
          <w:p w14:paraId="146A1DE5">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r>
              <w:rPr>
                <w:rFonts w:hint="eastAsia"/>
                <w:color w:val="auto"/>
                <w:sz w:val="16"/>
                <w:szCs w:val="16"/>
                <w:vertAlign w:val="baseline"/>
                <w:lang w:eastAsia="zh-CN"/>
              </w:rPr>
              <w:t>两项任选一项</w:t>
            </w:r>
          </w:p>
        </w:tc>
      </w:tr>
      <w:tr w14:paraId="5EE1B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1215" w:type="dxa"/>
            <w:vMerge w:val="continue"/>
            <w:noWrap w:val="0"/>
            <w:vAlign w:val="center"/>
          </w:tcPr>
          <w:p w14:paraId="78DFE645">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p>
        </w:tc>
        <w:tc>
          <w:tcPr>
            <w:tcW w:w="7066" w:type="dxa"/>
            <w:gridSpan w:val="10"/>
            <w:noWrap w:val="0"/>
            <w:vAlign w:val="top"/>
          </w:tcPr>
          <w:p w14:paraId="734EBDC5">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1、单个或分组考核。</w:t>
            </w:r>
          </w:p>
          <w:p w14:paraId="1BC8159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2、在10米长的跑道上标出起点线和折返线考生从起点线处听到起跑口令后起跑，在折返线处返回跑向起跑线，到达起跑线时为完成1次往返。连续完成2次往返，记录时间。</w:t>
            </w:r>
          </w:p>
          <w:p w14:paraId="5A3CA742">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得分超出10分的，每递减0.1秒增加1分，最高15分。</w:t>
            </w:r>
          </w:p>
          <w:p w14:paraId="6609ED83">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color w:val="auto"/>
                <w:sz w:val="16"/>
                <w:szCs w:val="16"/>
                <w:vertAlign w:val="baseline"/>
                <w:lang w:eastAsia="zh-CN"/>
              </w:rPr>
            </w:pPr>
          </w:p>
        </w:tc>
        <w:tc>
          <w:tcPr>
            <w:tcW w:w="734" w:type="dxa"/>
            <w:vMerge w:val="continue"/>
            <w:noWrap w:val="0"/>
            <w:vAlign w:val="top"/>
          </w:tcPr>
          <w:p w14:paraId="3A62ECC1">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color w:val="auto"/>
                <w:sz w:val="16"/>
                <w:szCs w:val="16"/>
                <w:vertAlign w:val="baseline"/>
                <w:lang w:eastAsia="zh-CN"/>
              </w:rPr>
            </w:pPr>
          </w:p>
        </w:tc>
      </w:tr>
      <w:tr w14:paraId="04E7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215" w:type="dxa"/>
            <w:vMerge w:val="restart"/>
            <w:noWrap w:val="0"/>
            <w:vAlign w:val="center"/>
          </w:tcPr>
          <w:p w14:paraId="44F2AF60">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p>
          <w:p w14:paraId="629F47E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100米跑</w:t>
            </w:r>
          </w:p>
          <w:p w14:paraId="28615305">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（秒）</w:t>
            </w:r>
          </w:p>
        </w:tc>
        <w:tc>
          <w:tcPr>
            <w:tcW w:w="910" w:type="dxa"/>
            <w:noWrap w:val="0"/>
            <w:vAlign w:val="center"/>
          </w:tcPr>
          <w:p w14:paraId="5D9B1223">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17″3</w:t>
            </w:r>
          </w:p>
        </w:tc>
        <w:tc>
          <w:tcPr>
            <w:tcW w:w="720" w:type="dxa"/>
            <w:noWrap w:val="0"/>
            <w:vAlign w:val="center"/>
          </w:tcPr>
          <w:p w14:paraId="60A5A6D0">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15″9</w:t>
            </w:r>
          </w:p>
        </w:tc>
        <w:tc>
          <w:tcPr>
            <w:tcW w:w="640" w:type="dxa"/>
            <w:noWrap w:val="0"/>
            <w:vAlign w:val="center"/>
          </w:tcPr>
          <w:p w14:paraId="4A8CE4E1">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15″6</w:t>
            </w:r>
          </w:p>
        </w:tc>
        <w:tc>
          <w:tcPr>
            <w:tcW w:w="600" w:type="dxa"/>
            <w:noWrap w:val="0"/>
            <w:vAlign w:val="center"/>
          </w:tcPr>
          <w:p w14:paraId="65F07F9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15″3</w:t>
            </w:r>
          </w:p>
        </w:tc>
        <w:tc>
          <w:tcPr>
            <w:tcW w:w="670" w:type="dxa"/>
            <w:noWrap w:val="0"/>
            <w:vAlign w:val="center"/>
          </w:tcPr>
          <w:p w14:paraId="11F16C0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15″0</w:t>
            </w:r>
          </w:p>
        </w:tc>
        <w:tc>
          <w:tcPr>
            <w:tcW w:w="718" w:type="dxa"/>
            <w:noWrap w:val="0"/>
            <w:vAlign w:val="center"/>
          </w:tcPr>
          <w:p w14:paraId="28AA08A0">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14″7</w:t>
            </w:r>
          </w:p>
        </w:tc>
        <w:tc>
          <w:tcPr>
            <w:tcW w:w="672" w:type="dxa"/>
            <w:noWrap w:val="0"/>
            <w:vAlign w:val="center"/>
          </w:tcPr>
          <w:p w14:paraId="538EBA0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14″4</w:t>
            </w:r>
          </w:p>
        </w:tc>
        <w:tc>
          <w:tcPr>
            <w:tcW w:w="710" w:type="dxa"/>
            <w:noWrap w:val="0"/>
            <w:vAlign w:val="center"/>
          </w:tcPr>
          <w:p w14:paraId="05C532B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14″1</w:t>
            </w:r>
          </w:p>
        </w:tc>
        <w:tc>
          <w:tcPr>
            <w:tcW w:w="570" w:type="dxa"/>
            <w:noWrap w:val="0"/>
            <w:vAlign w:val="center"/>
          </w:tcPr>
          <w:p w14:paraId="338CBFC2">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13″8</w:t>
            </w:r>
          </w:p>
        </w:tc>
        <w:tc>
          <w:tcPr>
            <w:tcW w:w="856" w:type="dxa"/>
            <w:noWrap w:val="0"/>
            <w:vAlign w:val="center"/>
          </w:tcPr>
          <w:p w14:paraId="5164C356">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3"/>
                <w:szCs w:val="13"/>
                <w:vertAlign w:val="baseline"/>
                <w:lang w:val="en-US" w:eastAsia="zh-CN"/>
              </w:rPr>
            </w:pPr>
            <w:r>
              <w:rPr>
                <w:rFonts w:hint="eastAsia"/>
                <w:color w:val="auto"/>
                <w:sz w:val="13"/>
                <w:szCs w:val="13"/>
                <w:vertAlign w:val="baseline"/>
                <w:lang w:val="en-US" w:eastAsia="zh-CN"/>
              </w:rPr>
              <w:t>13″5</w:t>
            </w:r>
          </w:p>
        </w:tc>
        <w:tc>
          <w:tcPr>
            <w:tcW w:w="734" w:type="dxa"/>
            <w:vMerge w:val="continue"/>
            <w:noWrap w:val="0"/>
            <w:vAlign w:val="top"/>
          </w:tcPr>
          <w:p w14:paraId="5FF54ED3">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color w:val="auto"/>
                <w:sz w:val="16"/>
                <w:szCs w:val="16"/>
                <w:vertAlign w:val="baseline"/>
                <w:lang w:eastAsia="zh-CN"/>
              </w:rPr>
            </w:pPr>
          </w:p>
        </w:tc>
      </w:tr>
      <w:tr w14:paraId="5C32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1215" w:type="dxa"/>
            <w:vMerge w:val="continue"/>
            <w:noWrap w:val="0"/>
            <w:vAlign w:val="center"/>
          </w:tcPr>
          <w:p w14:paraId="0C19B8D8">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eastAsia="zh-CN"/>
              </w:rPr>
            </w:pPr>
          </w:p>
        </w:tc>
        <w:tc>
          <w:tcPr>
            <w:tcW w:w="7066" w:type="dxa"/>
            <w:gridSpan w:val="10"/>
            <w:noWrap w:val="0"/>
            <w:vAlign w:val="top"/>
          </w:tcPr>
          <w:p w14:paraId="4050BF94">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1、分组考核。</w:t>
            </w:r>
          </w:p>
          <w:p w14:paraId="744500DF">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2、在100米直线跑道上标出起点线和终点线，考生从起点线处听到起跑口令后起跑，通过终点线记录时间。</w:t>
            </w:r>
          </w:p>
          <w:p w14:paraId="36B1B4A1">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3、抢跑犯规，重新组织起跑，跑出本道或用其他方式干扰、阻碍他人者不记录成绩。</w:t>
            </w:r>
          </w:p>
          <w:p w14:paraId="167D4CA3">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4、得出超出10分的，每递减0.3秒增加1分，最高15分。</w:t>
            </w:r>
          </w:p>
          <w:p w14:paraId="22E68C4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color w:val="auto"/>
                <w:sz w:val="16"/>
                <w:szCs w:val="16"/>
                <w:vertAlign w:val="baseline"/>
                <w:lang w:eastAsia="zh-CN"/>
              </w:rPr>
            </w:pPr>
            <w:r>
              <w:rPr>
                <w:rFonts w:hint="eastAsia"/>
                <w:color w:val="auto"/>
                <w:sz w:val="16"/>
                <w:szCs w:val="16"/>
                <w:vertAlign w:val="baseline"/>
                <w:lang w:val="en-US" w:eastAsia="zh-CN"/>
              </w:rPr>
              <w:t>5、高原地区按照上述内地标准增加1秒。</w:t>
            </w:r>
          </w:p>
        </w:tc>
        <w:tc>
          <w:tcPr>
            <w:tcW w:w="734" w:type="dxa"/>
            <w:vMerge w:val="continue"/>
            <w:noWrap w:val="0"/>
            <w:vAlign w:val="top"/>
          </w:tcPr>
          <w:p w14:paraId="64DC58F6">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color w:val="auto"/>
                <w:sz w:val="16"/>
                <w:szCs w:val="16"/>
                <w:vertAlign w:val="baseline"/>
                <w:lang w:val="en-US" w:eastAsia="zh-CN"/>
              </w:rPr>
            </w:pPr>
          </w:p>
        </w:tc>
      </w:tr>
      <w:tr w14:paraId="017D2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1215" w:type="dxa"/>
            <w:noWrap w:val="0"/>
            <w:vAlign w:val="center"/>
          </w:tcPr>
          <w:p w14:paraId="1918522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备注</w:t>
            </w:r>
          </w:p>
        </w:tc>
        <w:tc>
          <w:tcPr>
            <w:tcW w:w="7800" w:type="dxa"/>
            <w:gridSpan w:val="11"/>
            <w:noWrap w:val="0"/>
            <w:vAlign w:val="top"/>
          </w:tcPr>
          <w:p w14:paraId="231F75E1">
            <w:pPr>
              <w:keepNext w:val="0"/>
              <w:keepLines w:val="0"/>
              <w:pageBreakBefore w:val="0"/>
              <w:widowControl w:val="0"/>
              <w:numPr>
                <w:ilvl w:val="0"/>
                <w:numId w:val="4"/>
              </w:numPr>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总成绩最高40分，单项未取得有效成绩的不予记录。</w:t>
            </w:r>
          </w:p>
          <w:p w14:paraId="35F95195">
            <w:pPr>
              <w:keepNext w:val="0"/>
              <w:keepLines w:val="0"/>
              <w:pageBreakBefore w:val="0"/>
              <w:widowControl w:val="0"/>
              <w:numPr>
                <w:ilvl w:val="0"/>
                <w:numId w:val="4"/>
              </w:numPr>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高原地区应在海拔4000米以下集中组织体能测试。</w:t>
            </w:r>
          </w:p>
          <w:p w14:paraId="1C45B2B0">
            <w:pPr>
              <w:keepNext w:val="0"/>
              <w:keepLines w:val="0"/>
              <w:pageBreakBefore w:val="0"/>
              <w:widowControl w:val="0"/>
              <w:numPr>
                <w:ilvl w:val="0"/>
                <w:numId w:val="4"/>
              </w:numPr>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高原地区消防员招录中“原地跳高、立定跳远、单杠引体向上、俯卧撑”按照内地标准执行。</w:t>
            </w:r>
          </w:p>
          <w:p w14:paraId="1BBED8F4">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color w:val="auto"/>
                <w:sz w:val="16"/>
                <w:szCs w:val="16"/>
                <w:vertAlign w:val="baseline"/>
                <w:lang w:val="en-US" w:eastAsia="zh-CN"/>
              </w:rPr>
            </w:pPr>
            <w:r>
              <w:rPr>
                <w:rFonts w:hint="eastAsia"/>
                <w:color w:val="auto"/>
                <w:sz w:val="16"/>
                <w:szCs w:val="16"/>
                <w:vertAlign w:val="baseline"/>
                <w:lang w:val="en-US" w:eastAsia="zh-CN"/>
              </w:rPr>
              <w:t>4、测试项目及标准中“以上”“以下”均含本级、本数。</w:t>
            </w:r>
          </w:p>
        </w:tc>
      </w:tr>
    </w:tbl>
    <w:p w14:paraId="1C9CF9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A31AED"/>
    <w:multiLevelType w:val="singleLevel"/>
    <w:tmpl w:val="67A31AED"/>
    <w:lvl w:ilvl="0" w:tentative="0">
      <w:start w:val="1"/>
      <w:numFmt w:val="decimal"/>
      <w:suff w:val="nothing"/>
      <w:lvlText w:val="%1、"/>
      <w:lvlJc w:val="left"/>
    </w:lvl>
  </w:abstractNum>
  <w:abstractNum w:abstractNumId="1">
    <w:nsid w:val="67A31EAB"/>
    <w:multiLevelType w:val="singleLevel"/>
    <w:tmpl w:val="67A31EAB"/>
    <w:lvl w:ilvl="0" w:tentative="0">
      <w:start w:val="1"/>
      <w:numFmt w:val="decimal"/>
      <w:suff w:val="nothing"/>
      <w:lvlText w:val="%1、"/>
      <w:lvlJc w:val="left"/>
    </w:lvl>
  </w:abstractNum>
  <w:abstractNum w:abstractNumId="2">
    <w:nsid w:val="67A321A7"/>
    <w:multiLevelType w:val="singleLevel"/>
    <w:tmpl w:val="67A321A7"/>
    <w:lvl w:ilvl="0" w:tentative="0">
      <w:start w:val="1"/>
      <w:numFmt w:val="decimal"/>
      <w:suff w:val="nothing"/>
      <w:lvlText w:val="%1、"/>
      <w:lvlJc w:val="left"/>
    </w:lvl>
  </w:abstractNum>
  <w:abstractNum w:abstractNumId="3">
    <w:nsid w:val="67A331CC"/>
    <w:multiLevelType w:val="singleLevel"/>
    <w:tmpl w:val="67A331CC"/>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20771"/>
    <w:rsid w:val="2AD20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table" w:styleId="4">
    <w:name w:val="Table Grid"/>
    <w:basedOn w:val="3"/>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2025-03-20T07:18:00Z</dcterms:created>
  <dc:creator>小飞侠</dc:creator>
  <cp:lastModifiedBy>小飞侠</cp:lastModifiedBy>
  <dcterms:modified xsi:type="dcterms:W3CDTF">2025-03-20T07:22:52Z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277CD7D02D684250A17366E2AD8828E9_11</vt:lpwstr>
  </property>
  <property fmtid="{D5CDD505-2E9C-101B-9397-08002B2CF9AE}" pid="4" name="KSOTemplateDocerSaveRecord">
    <vt:lpwstr>eyJoZGlkIjoiNjZhNGY5N2JlOWIyMmM2ZTI0MzdlYzM1MTQ2MDY5OTIiLCJ1c2VySWQiOiI0NjE3NzMwMzAifQ==</vt:lpwstr>
  </property>
</Properties>
</file>