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808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引进范围及待遇</w:t>
      </w:r>
    </w:p>
    <w:p w14:paraId="2FDC6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3BC70C9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一、第一层次优秀教研人才：具有博士学位或副高级及以上职称，年龄一般不超过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周岁，近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年主持省部级以上项目，同时符合相关教学科研要求。一次性安家费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（税前）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、聘期津贴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万、科研启动费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万元、高层次人才绩效激励补贴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12万，提供人才公寓。</w:t>
      </w:r>
      <w:bookmarkStart w:id="0" w:name="_GoBack"/>
      <w:bookmarkEnd w:id="0"/>
    </w:p>
    <w:p w14:paraId="482AED0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二、第二层次博士研究生：取得博士毕业证书及学位证书，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年龄一般不超过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周岁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。一次性安家费30万元（税前）、聘期津贴8万、科研启动费5万元、高层次人才绩效激励补贴12万，提供人才公寓。</w:t>
      </w:r>
    </w:p>
    <w:p w14:paraId="096FF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已取得高级专业技术职务任职资格的，到校（院）工作后视岗位情况聘任；无高级专业技术职务任职资格的，入职次年可参加副高级职称评审，通过后授予资格，可聘任为副教授。</w:t>
      </w:r>
    </w:p>
    <w:sectPr>
      <w:pgSz w:w="11906" w:h="16838"/>
      <w:pgMar w:top="1984" w:right="1928" w:bottom="1701" w:left="192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E596B"/>
    <w:rsid w:val="75A4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2024-08-25T15:38:00Z</dcterms:created>
  <dc:creator>飞鸟</dc:creator>
  <cp:lastModifiedBy>张小羽</cp:lastModifiedBy>
  <dcterms:modified xsi:type="dcterms:W3CDTF">2025-03-06T14:50:40Z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11E573451C344752B045534B24C54A30_12</vt:lpwstr>
  </property>
  <property fmtid="{D5CDD505-2E9C-101B-9397-08002B2CF9AE}" pid="4" name="KSOTemplateDocerSaveRecord">
    <vt:lpwstr>eyJoZGlkIjoiN2YzNjBkOTgyNWQ1YTMxYzM3MzMwNWFiODNmOWIzYWMiLCJ1c2VySWQiOiIyOTA5MDY1ODQifQ==</vt:lpwstr>
  </property>
</Properties>
</file>