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A1F0">
      <w:pPr>
        <w:widowControl/>
        <w:spacing w:line="500" w:lineRule="exact"/>
        <w:ind w:right="301"/>
        <w:jc w:val="left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32442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right="0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/>
        </w:rPr>
        <w:t>金凤实验室简介</w:t>
      </w:r>
    </w:p>
    <w:p w14:paraId="66540E0E"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金凤实验室伴随着成渝地区双城经济圈建设应运而生，是西部（重庆）科学城“头号工程”，是我市构建“416”科技创新布局的首家“重庆实验室”。实验室以“重大疾病的下一代诊断”为核心任务，以原始理论创新和“卡脖子”技术基础理论突破为首要目标，布局科研平台，广聚天下英才，构建科研矩阵，开展有组织科研，加快打造开放型、枢纽型、平台型科技创新地，努力开辟未来诊疗产业发展新赛道。实验室占地面积128亩，建筑面积13.5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，配套建设30万m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的高端人才住房、1100亩的凤栖湖公园。实验室学术氛围浓厚、科研条件完善、配套服务齐全，既是施展才华、创新创业的舞台，又是勇攀高峰、实现梦想的平台。</w:t>
      </w:r>
    </w:p>
    <w:p w14:paraId="7AD701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2025-02-12T02:37:10Z</dcterms:created>
  <dc:creator>33485</dc:creator>
  <cp:lastModifiedBy>吖嗄</cp:lastModifiedBy>
  <dcterms:modified xsi:type="dcterms:W3CDTF">2025-02-12T02:37:17Z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eyJoZGlkIjoiZWMzMGZhMTQ4OWM4ODFmY2YzYTBkYTI1YmE0NGI0YzMiLCJ1c2VySWQiOiI4NzA0NTM4MTQifQ==</vt:lpwstr>
  </property>
  <property fmtid="{D5CDD505-2E9C-101B-9397-08002B2CF9AE}" pid="4" name="ICV">
    <vt:lpwstr>618B43DE90464973A62AE3D406DFD308_12</vt:lpwstr>
  </property>
</Properties>
</file>