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河源市源城区人民检察院编外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</w:p>
    <w:tbl>
      <w:tblPr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市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区（</w:t>
            </w:r>
            <w:r>
              <w:rPr>
                <w:rFonts w:hint="eastAsia" w:ascii="宋体" w:hAnsi="宋体" w:eastAsia="宋体"/>
                <w:sz w:val="24"/>
              </w:rPr>
              <w:t>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W w:w="9680" w:type="dxa"/>
        <w:jc w:val="center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08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30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69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7982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2022-08-23T03:33:00Z</cp:lastPrinted>
  <dcterms:modified xsi:type="dcterms:W3CDTF">2022-08-24T03:18:15Z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  <property fmtid="{D5CDD505-2E9C-101B-9397-08002B2CF9AE}" pid="3" name="ICV">
    <vt:lpwstr>B823089FB03B43D0B19EC56FF9046F36</vt:lpwstr>
  </property>
</Properties>
</file>