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宋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auto"/>
          <w:kern w:val="0"/>
          <w:sz w:val="32"/>
          <w:szCs w:val="32"/>
        </w:rPr>
        <w:t>附件2：</w:t>
      </w:r>
    </w:p>
    <w:p>
      <w:pPr>
        <w:spacing w:line="540" w:lineRule="exact"/>
        <w:jc w:val="center"/>
        <w:rPr>
          <w:rFonts w:hint="eastAsia" w:ascii="方正小标宋简体" w:hAnsi="仿宋_GB2312" w:eastAsia="方正小标宋简体" w:cs="仿宋_GB2312"/>
          <w:color w:val="auto"/>
          <w:kern w:val="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color w:val="auto"/>
          <w:kern w:val="0"/>
          <w:sz w:val="44"/>
          <w:szCs w:val="44"/>
          <w:shd w:val="clear" w:color="auto" w:fill="FFFFFF"/>
        </w:rPr>
        <w:t>专业条件设置目录</w:t>
      </w:r>
    </w:p>
    <w:bookmarkEnd w:id="0"/>
    <w:p>
      <w:pPr>
        <w:spacing w:line="540" w:lineRule="exact"/>
        <w:jc w:val="center"/>
        <w:rPr>
          <w:rFonts w:hint="eastAsia" w:ascii="楷体_GB2312" w:hAnsi="仿宋_GB2312" w:eastAsia="楷体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楷体_GB2312" w:hAnsi="仿宋_GB2312" w:eastAsia="楷体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>（参照江西省202</w:t>
      </w:r>
      <w:r>
        <w:rPr>
          <w:rFonts w:hint="eastAsia" w:ascii="楷体_GB2312" w:hAnsi="仿宋_GB2312" w:eastAsia="楷体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楷体_GB2312" w:hAnsi="仿宋_GB2312" w:eastAsia="楷体_GB2312" w:cs="仿宋_GB2312"/>
          <w:color w:val="auto"/>
          <w:kern w:val="0"/>
          <w:sz w:val="32"/>
          <w:szCs w:val="32"/>
          <w:highlight w:val="none"/>
          <w:shd w:val="clear" w:color="auto" w:fill="FFFFFF"/>
        </w:rPr>
        <w:t>年度考试录用公务员专业条件设置指导目录）</w:t>
      </w:r>
    </w:p>
    <w:tbl>
      <w:tblPr>
        <w:tblStyle w:val="2"/>
        <w:tblW w:w="85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57" w:type="dxa"/>
          <w:bottom w:w="15" w:type="dxa"/>
          <w:right w:w="57" w:type="dxa"/>
        </w:tblCellMar>
      </w:tblPr>
      <w:tblGrid>
        <w:gridCol w:w="922"/>
        <w:gridCol w:w="3813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blHeader/>
          <w:jc w:val="center"/>
        </w:trPr>
        <w:tc>
          <w:tcPr>
            <w:tcW w:w="92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auto"/>
                <w:szCs w:val="21"/>
              </w:rPr>
            </w:pPr>
            <w:r>
              <w:rPr>
                <w:rFonts w:hint="eastAsia" w:ascii="黑体" w:hAnsi="宋体" w:eastAsia="黑体"/>
                <w:b/>
                <w:color w:val="auto"/>
                <w:szCs w:val="21"/>
              </w:rPr>
              <w:t>类别</w:t>
            </w:r>
          </w:p>
        </w:tc>
        <w:tc>
          <w:tcPr>
            <w:tcW w:w="7640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auto"/>
                <w:szCs w:val="21"/>
              </w:rPr>
            </w:pPr>
            <w:r>
              <w:rPr>
                <w:rFonts w:hint="eastAsia" w:ascii="黑体" w:hAnsi="宋体" w:eastAsia="黑体"/>
                <w:b/>
                <w:color w:val="auto"/>
                <w:szCs w:val="21"/>
              </w:rPr>
              <w:t>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blHeader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auto"/>
                <w:szCs w:val="21"/>
              </w:rPr>
            </w:pPr>
          </w:p>
        </w:tc>
        <w:tc>
          <w:tcPr>
            <w:tcW w:w="3813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auto"/>
                <w:szCs w:val="21"/>
              </w:rPr>
            </w:pPr>
            <w:r>
              <w:rPr>
                <w:rFonts w:hint="eastAsia" w:ascii="黑体" w:hAnsi="宋体" w:eastAsia="黑体"/>
                <w:b/>
                <w:color w:val="auto"/>
                <w:szCs w:val="21"/>
              </w:rPr>
              <w:t>研究生专业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color w:val="auto"/>
                <w:szCs w:val="21"/>
              </w:rPr>
            </w:pPr>
            <w:r>
              <w:rPr>
                <w:rFonts w:hint="eastAsia" w:ascii="黑体" w:hAnsi="宋体" w:eastAsia="黑体"/>
                <w:b/>
                <w:color w:val="auto"/>
                <w:szCs w:val="21"/>
              </w:rPr>
              <w:t>本科专业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874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auto"/>
                <w:szCs w:val="21"/>
              </w:rPr>
            </w:pPr>
            <w:r>
              <w:rPr>
                <w:rFonts w:hint="eastAsia" w:ascii="黑体" w:hAnsi="宋体" w:eastAsia="黑体"/>
                <w:b/>
                <w:color w:val="auto"/>
                <w:szCs w:val="21"/>
              </w:rPr>
              <w:t>法律类</w:t>
            </w:r>
          </w:p>
        </w:tc>
        <w:tc>
          <w:tcPr>
            <w:tcW w:w="3813" w:type="dxa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法学理论、法律史、宪法学与行政法学、刑法学、民商法学（含劳动法学、社会保障法学）、诉讼法学、经济法学、环境与资源保护法学、国际法学（含：国际公法、国际私法、国际经济法）、军事法学、知识产权法学、法律硕士（法学、非法学）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法学、知识产权、监狱学、知识产权法、国际法、国际经济法</w:t>
            </w:r>
          </w:p>
          <w:p>
            <w:pPr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法律、律师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720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经济与贸易类</w:t>
            </w:r>
          </w:p>
        </w:tc>
        <w:tc>
          <w:tcPr>
            <w:tcW w:w="3813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政治经济学、经济思想史、经济史、西方经济学、世界经济、人口、资源与环境经济学、马克思主义理论与中国经济社会发展、国民经济学、区域经济学、产业经济学、国际贸易学、劳动经济学、统计学、数量经济学、国防经济学、法律经济学、规制经济学、发展经济学、网络经济学、投资经济学、体育经济学、区域与产业经济管理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应用统计硕士、国际商务硕士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经济学、经济统计学、国民经济管理、资源与环境经济学、商务经济学、能源经济、国际经济与贸易、贸易经济</w:t>
            </w:r>
          </w:p>
          <w:p>
            <w:pP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国际文化贸易、国际经济、国际贸易、海洋经济学、国际商务、环境资源与发展经济学</w:t>
            </w:r>
          </w:p>
          <w:p>
            <w:pPr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调查与分析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437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财政金融类</w:t>
            </w:r>
          </w:p>
        </w:tc>
        <w:tc>
          <w:tcPr>
            <w:tcW w:w="3813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财政学、税收学、金融学、保险学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金融硕士、税务硕士、保险硕士、资产评估硕士（机电设备评估、金融资产评估、知识产权评估、土地、房产评估）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财政学、税收学、金融学、金融工程、金融管理、保险学、投资学、金融数学、信用管理、经济与金融、国际金融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税务、金融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787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会计与审计类</w:t>
            </w:r>
          </w:p>
        </w:tc>
        <w:tc>
          <w:tcPr>
            <w:tcW w:w="3813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会计（学）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会计硕士、审计硕士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会计（学）、审计学、财务管理、财务会计教育</w:t>
            </w:r>
          </w:p>
          <w:p>
            <w:pPr>
              <w:spacing w:line="26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国际会计、国际财务管理、注册会计师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3480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1"/>
                <w:szCs w:val="21"/>
                <w:highlight w:val="none"/>
                <w:u w:val="none"/>
              </w:rPr>
              <w:t>工商管理类</w:t>
            </w:r>
          </w:p>
        </w:tc>
        <w:tc>
          <w:tcPr>
            <w:tcW w:w="3813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管理科学、管理科学与工程、房地产开发与管理、信息管理与信息系统、电子商务与电子政务、经济管理决策与分析、服务计算及应用、会计学、企业管理（含：财务管理、市场营销、人力资源管理）、旅游管理、技术经济及管理、农业经济管理、林业经济管理、工商管理硕士、会计硕士、物流工程硕士</w:t>
            </w:r>
          </w:p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区域与产业经济管理、文化资源与产业管理、历史遗产管理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管理科学、管理科学与工程、信息管理与信息系统、工程管理、房地产开发与管理、工程造价、工商管理、市场营销、会计学、财务管理、国际财务管理、国际商务、人力资源管理、审计学、资产评估、物业管理、文化产业管理、劳动关系、体育经济与管理、财务会计教育、市场营销教育、农林经济管理、农村区域发展、物流管理、物流工程、采购管理、电子商务、电子商务及法律、渔业资源与渔政管理、保密管理</w:t>
            </w:r>
          </w:p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highlight w:val="none"/>
                <w:u w:val="none"/>
              </w:rPr>
              <w:t>采购与供应管理、工程造价管理、工商企业管理、农业经济管理、销售管理、中小企业经营管理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02115D"/>
    <w:rsid w:val="1F02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2025-01-24T09:36:00Z</dcterms:created>
  <dc:creator>Administrator</dc:creator>
  <cp:lastModifiedBy>Administrator</cp:lastModifiedBy>
  <dcterms:modified xsi:type="dcterms:W3CDTF">2025-01-24T09:37:27Z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87E8322F16C74370A55D745710AF9DF5</vt:lpwstr>
  </property>
</Properties>
</file>