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"/>
          <w:b/>
          <w:bCs w:val="0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b/>
          <w:bCs w:val="0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年度工作人员招聘岗位及条件一览表</w:t>
      </w:r>
    </w:p>
    <w:tbl>
      <w:tblPr>
        <w:tblStyle w:val="2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346"/>
        <w:gridCol w:w="1697"/>
        <w:gridCol w:w="130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儿科临床研究方向，取得执业医师资格证书、规培合格证书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泌尿外科医师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泌尿外科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取得执业医师资格证书、规培合格证书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士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</w:t>
            </w:r>
            <w:r>
              <w:rPr>
                <w:rFonts w:hint="eastAsia" w:ascii="仿宋_GB2312" w:hAnsi="宋体" w:eastAsia="仿宋_GB2312"/>
                <w:szCs w:val="21"/>
              </w:rPr>
              <w:t>规培证或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二甲以上综合医院工作经历优先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麻醉医师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麻醉专业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取得执业医师资格证书，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中西医临床医师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中西医临床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（普外）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内科医师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科学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临床医学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shd w:val="clear" w:color="auto" w:fill="auto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，执业范围为全科医学，并取得全科</w:t>
            </w:r>
            <w:r>
              <w:rPr>
                <w:rFonts w:hint="eastAsia" w:ascii="仿宋_GB2312" w:hAnsi="宋体" w:eastAsia="仿宋_GB2312"/>
                <w:szCs w:val="21"/>
              </w:rPr>
              <w:t>规培合格证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美容医师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临床医学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/皮肤美容/整型美容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、有美容外科主诊、美容皮肤主诊资格的医师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放射医学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执业医师资格证书、CT、MRI诊断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等相关专业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中药师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药学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取得中药师资格证书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心理  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精神卫生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急诊科医师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重症监护室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重症医学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质控办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  <w:t>临床医学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中级职称、有医学背景、有医疗管理经验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文秘人员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  <w:t>相关专业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有较好的语言表达能力、沟通协作能力和写作能力，熟练掌握W0RD、WPS等办公软件，吃苦耐劳、服从管理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instrText xml:space="preserve"> =SUM(ABOVE) \* MERGEFORMAT </w:instrTex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/>
    <w:p>
      <w:pPr>
        <w:rPr>
          <w:b/>
          <w:bCs/>
        </w:rPr>
      </w:pPr>
    </w:p>
    <w:p>
      <w:pP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a707aa69-7d95-4f39-a3f4-c1664d2989f0"/>
  </w:docVars>
  <w:rsids>
    <w:rsidRoot w:val="773100CB"/>
    <w:rsid w:val="773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2025-01-08T01:38:00Z</dcterms:created>
  <dc:creator>仲良</dc:creator>
  <cp:lastModifiedBy>仲良</cp:lastModifiedBy>
  <dcterms:modified xsi:type="dcterms:W3CDTF">2025-01-08T01:39:20Z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3A0C20EBF2D24512BD3C1F3FB6DBD27B_11</vt:lpwstr>
  </property>
</Properties>
</file>