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14"/>
        <w:gridCol w:w="656"/>
        <w:gridCol w:w="731"/>
        <w:gridCol w:w="977"/>
        <w:gridCol w:w="1105"/>
        <w:gridCol w:w="1745"/>
        <w:gridCol w:w="923"/>
        <w:gridCol w:w="3145"/>
        <w:gridCol w:w="123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职位代码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862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职位条件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考试方式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面向范围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综合</w:t>
            </w:r>
            <w:r>
              <w:rPr>
                <w:rFonts w:hint="eastAsia" w:ascii="仿宋" w:hAnsi="仿宋" w:eastAsia="仿宋"/>
                <w:lang w:eastAsia="zh-CN"/>
              </w:rPr>
              <w:t>协调</w:t>
            </w:r>
            <w:r>
              <w:rPr>
                <w:rFonts w:hint="eastAsia" w:ascii="仿宋" w:hAnsi="仿宋" w:eastAsia="仿宋"/>
              </w:rPr>
              <w:t>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周岁及以下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全日制大专及以上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不限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不限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现为</w:t>
            </w:r>
            <w:r>
              <w:rPr>
                <w:rFonts w:hint="eastAsia" w:ascii="仿宋" w:hAnsi="仿宋" w:eastAsia="仿宋"/>
              </w:rPr>
              <w:t>常山开发区机关事业工作人员（含编外），下属国企工作人员（含劳务派遣）、管理区村“两委</w:t>
            </w:r>
            <w:r>
              <w:rPr>
                <w:rFonts w:ascii="仿宋" w:hAnsi="仿宋" w:eastAsia="仿宋"/>
              </w:rPr>
              <w:t>”</w:t>
            </w:r>
            <w:r>
              <w:rPr>
                <w:rFonts w:hint="eastAsia" w:ascii="仿宋" w:hAnsi="仿宋" w:eastAsia="仿宋"/>
                <w:lang w:eastAsia="zh-CN"/>
              </w:rPr>
              <w:t>，且在以上单位工作满</w:t>
            </w:r>
            <w:r>
              <w:rPr>
                <w:rFonts w:hint="eastAsia" w:ascii="仿宋" w:hAnsi="仿宋" w:eastAsia="仿宋"/>
                <w:lang w:val="en-US" w:eastAsia="zh-CN"/>
              </w:rPr>
              <w:t>5年以上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笔试+面试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工程管理部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周岁及以下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全日制大专及以上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土建类</w:t>
            </w:r>
            <w:r>
              <w:rPr>
                <w:rFonts w:hint="eastAsia" w:ascii="仿宋" w:hAnsi="仿宋" w:eastAsia="仿宋"/>
                <w:lang w:eastAsia="zh-CN"/>
              </w:rPr>
              <w:t>、会计与审计类、经济贸易类、管理科学与工程类、工商管理类、计算机软件技术类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不限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现为</w:t>
            </w:r>
            <w:r>
              <w:rPr>
                <w:rFonts w:hint="eastAsia" w:ascii="仿宋" w:hAnsi="仿宋" w:eastAsia="仿宋"/>
              </w:rPr>
              <w:t>常山开发区机关事业工作人员（含编外），下属国企工作人员（含劳务派遣）、管理区村“两委</w:t>
            </w:r>
            <w:r>
              <w:rPr>
                <w:rFonts w:ascii="仿宋" w:hAnsi="仿宋" w:eastAsia="仿宋"/>
              </w:rPr>
              <w:t>”</w:t>
            </w:r>
            <w:r>
              <w:rPr>
                <w:rFonts w:hint="eastAsia" w:ascii="仿宋" w:hAnsi="仿宋" w:eastAsia="仿宋"/>
                <w:lang w:eastAsia="zh-CN"/>
              </w:rPr>
              <w:t>，且在以上单位工作满</w:t>
            </w:r>
            <w:r>
              <w:rPr>
                <w:rFonts w:hint="eastAsia" w:ascii="仿宋" w:hAnsi="仿宋" w:eastAsia="仿宋"/>
                <w:lang w:val="en-US" w:eastAsia="zh-CN"/>
              </w:rPr>
              <w:t>5年以上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笔试+面试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纪检监察部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周岁及以下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全日制大专及以上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中共</w:t>
            </w: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党员</w:t>
            </w:r>
          </w:p>
        </w:tc>
        <w:tc>
          <w:tcPr>
            <w:tcW w:w="31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现为</w:t>
            </w:r>
            <w:r>
              <w:rPr>
                <w:rFonts w:hint="eastAsia" w:ascii="仿宋" w:hAnsi="仿宋" w:eastAsia="仿宋"/>
              </w:rPr>
              <w:t>常山开发区机关事业工作人员（含编外），下属国企工作人员（含劳务派遣）、管理区村“两委</w:t>
            </w:r>
            <w:r>
              <w:rPr>
                <w:rFonts w:ascii="仿宋" w:hAnsi="仿宋" w:eastAsia="仿宋"/>
              </w:rPr>
              <w:t>”</w:t>
            </w:r>
            <w:r>
              <w:rPr>
                <w:rFonts w:hint="eastAsia" w:ascii="仿宋" w:hAnsi="仿宋" w:eastAsia="仿宋"/>
                <w:lang w:eastAsia="zh-CN"/>
              </w:rPr>
              <w:t>，且在以上单位工作满</w:t>
            </w:r>
            <w:r>
              <w:rPr>
                <w:rFonts w:hint="eastAsia" w:ascii="仿宋" w:hAnsi="仿宋" w:eastAsia="仿宋"/>
                <w:lang w:val="en-US" w:eastAsia="zh-CN"/>
              </w:rPr>
              <w:t>5年以上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笔试+面试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b/>
        <w:bCs/>
        <w:sz w:val="36"/>
        <w:szCs w:val="36"/>
      </w:rPr>
    </w:pPr>
    <w:r>
      <w:rPr>
        <w:rFonts w:hint="eastAsia" w:ascii="仿宋" w:hAnsi="仿宋" w:eastAsia="仿宋"/>
        <w:b/>
        <w:bCs/>
        <w:sz w:val="36"/>
        <w:szCs w:val="36"/>
      </w:rPr>
      <w:t>2</w:t>
    </w:r>
    <w:r>
      <w:rPr>
        <w:rFonts w:ascii="仿宋" w:hAnsi="仿宋" w:eastAsia="仿宋"/>
        <w:b/>
        <w:bCs/>
        <w:sz w:val="36"/>
        <w:szCs w:val="36"/>
      </w:rPr>
      <w:t>024</w:t>
    </w:r>
    <w:r>
      <w:rPr>
        <w:rFonts w:hint="eastAsia" w:ascii="仿宋" w:hAnsi="仿宋" w:eastAsia="仿宋"/>
        <w:b/>
        <w:bCs/>
        <w:sz w:val="36"/>
        <w:szCs w:val="36"/>
      </w:rPr>
      <w:t>年</w:t>
    </w:r>
    <w:r>
      <w:rPr>
        <w:rFonts w:hint="eastAsia" w:ascii="仿宋" w:hAnsi="仿宋" w:eastAsia="仿宋"/>
        <w:b/>
        <w:bCs/>
        <w:sz w:val="36"/>
        <w:szCs w:val="36"/>
        <w:lang w:val="en-US" w:eastAsia="zh-CN"/>
      </w:rPr>
      <w:t>12月</w:t>
    </w:r>
    <w:r>
      <w:rPr>
        <w:rFonts w:hint="eastAsia" w:ascii="仿宋" w:hAnsi="仿宋" w:eastAsia="仿宋"/>
        <w:b/>
        <w:bCs/>
        <w:sz w:val="36"/>
        <w:szCs w:val="36"/>
      </w:rPr>
      <w:t>漳州市常山华侨经济开发区侨城建设发展有限公司招聘</w:t>
    </w:r>
    <w:r>
      <w:rPr>
        <w:rFonts w:hint="eastAsia" w:ascii="仿宋" w:hAnsi="仿宋" w:eastAsia="仿宋"/>
        <w:b/>
        <w:bCs/>
        <w:sz w:val="36"/>
        <w:szCs w:val="36"/>
        <w:lang w:eastAsia="zh-CN"/>
      </w:rPr>
      <w:t>工作</w:t>
    </w:r>
    <w:r>
      <w:rPr>
        <w:rFonts w:hint="eastAsia" w:ascii="仿宋" w:hAnsi="仿宋" w:eastAsia="仿宋"/>
        <w:b/>
        <w:bCs/>
        <w:sz w:val="36"/>
        <w:szCs w:val="36"/>
      </w:rPr>
      <w:t>人员职位条件一览表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1YmIzYTJkNWJiNmFlNGRmYTY2OGYyMjM0ZWM2MjUifQ=="/>
  </w:docVars>
  <w:rsids>
    <w:rsidRoot w:val="00AC77FD"/>
    <w:rsid w:val="000133F6"/>
    <w:rsid w:val="000D3BC2"/>
    <w:rsid w:val="000E6E0B"/>
    <w:rsid w:val="002E76BC"/>
    <w:rsid w:val="00310349"/>
    <w:rsid w:val="0039465B"/>
    <w:rsid w:val="006E0EE5"/>
    <w:rsid w:val="00714E1D"/>
    <w:rsid w:val="00AC77FD"/>
    <w:rsid w:val="00C70482"/>
    <w:rsid w:val="00CC3DBD"/>
    <w:rsid w:val="00D63DE1"/>
    <w:rsid w:val="00F25181"/>
    <w:rsid w:val="0E4D6444"/>
    <w:rsid w:val="1752541C"/>
    <w:rsid w:val="1A4743BD"/>
    <w:rsid w:val="1E6046AB"/>
    <w:rsid w:val="243214DB"/>
    <w:rsid w:val="24A30970"/>
    <w:rsid w:val="3D8F0F4F"/>
    <w:rsid w:val="450E6469"/>
    <w:rsid w:val="46764233"/>
    <w:rsid w:val="4F3779CF"/>
    <w:rsid w:val="58C7480B"/>
    <w:rsid w:val="74A1777C"/>
    <w:rsid w:val="77476980"/>
    <w:rsid w:val="7D4D55EA"/>
    <w:rsid w:val="E7AC9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357</Characters>
  <Lines>2</Lines>
  <Paragraphs>1</Paragraphs>
  <TotalTime>1</TotalTime>
  <ScaleCrop>false</ScaleCrop>
  <LinksUpToDate>false</LinksUpToDate>
  <CharactersWithSpaces>357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2024-11-12T16:59:00Z</dcterms:created>
  <dc:creator>林明 魏</dc:creator>
  <cp:lastModifiedBy>admin</cp:lastModifiedBy>
  <cp:lastPrinted>2024-12-12T08:23:00Z</cp:lastPrinted>
  <dcterms:modified xsi:type="dcterms:W3CDTF">2024-12-18T16:34:05Z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6F4ECAEDDD4E4115BBA8F658E3823171_13</vt:lpwstr>
  </property>
</Properties>
</file>