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4C26E">
      <w:pPr>
        <w:pStyle w:val="2"/>
        <w:rPr>
          <w:rFonts w:hint="eastAsia" w:ascii="黑体" w:hAnsi="黑体" w:eastAsia="黑体"/>
          <w:sz w:val="28"/>
          <w:szCs w:val="28"/>
          <w:lang w:val="en-US" w:eastAsia="zh-CN"/>
        </w:rPr>
      </w:pPr>
      <w:r>
        <w:rPr>
          <w:rFonts w:hint="eastAsia" w:ascii="黑体" w:hAnsi="黑体" w:eastAsia="黑体"/>
          <w:sz w:val="28"/>
          <w:szCs w:val="28"/>
        </w:rPr>
        <w:t>附件</w:t>
      </w:r>
      <w:r>
        <w:rPr>
          <w:rFonts w:hint="eastAsia" w:ascii="黑体" w:hAnsi="黑体" w:eastAsia="黑体"/>
          <w:sz w:val="28"/>
          <w:szCs w:val="28"/>
          <w:lang w:val="en-US" w:eastAsia="zh-CN"/>
        </w:rPr>
        <w:t>4</w:t>
      </w:r>
    </w:p>
    <w:p w14:paraId="3CFE8827">
      <w:pPr>
        <w:pStyle w:val="2"/>
        <w:spacing w:line="240" w:lineRule="exact"/>
        <w:jc w:val="center"/>
        <w:rPr>
          <w:rFonts w:ascii="方正小标宋_GBK" w:hAnsi="黑体" w:eastAsia="方正小标宋_GBK"/>
          <w:sz w:val="44"/>
          <w:szCs w:val="44"/>
        </w:rPr>
      </w:pPr>
    </w:p>
    <w:p w14:paraId="6D6C0136">
      <w:pPr>
        <w:spacing w:line="586" w:lineRule="exact"/>
        <w:ind w:firstLine="640" w:firstLineChars="200"/>
        <w:jc w:val="center"/>
        <w:rPr>
          <w:rFonts w:hint="eastAsia" w:ascii="仿宋_GB2312" w:hAnsi="Times New Roman" w:eastAsia="仿宋_GB2312"/>
          <w:sz w:val="32"/>
          <w:szCs w:val="32"/>
        </w:rPr>
      </w:pPr>
      <w:r>
        <w:rPr>
          <w:rFonts w:hint="eastAsia" w:ascii="仿宋_GB2312" w:hAnsi="Times New Roman" w:eastAsia="仿宋_GB2312"/>
          <w:sz w:val="32"/>
          <w:szCs w:val="32"/>
        </w:rPr>
        <w:t>2024年桂林市水利局所属事业单位桂林市水利电力勘测设计</w:t>
      </w:r>
    </w:p>
    <w:p w14:paraId="3FADE9D6">
      <w:pPr>
        <w:spacing w:line="586" w:lineRule="exact"/>
        <w:ind w:firstLine="640" w:firstLineChars="200"/>
        <w:jc w:val="center"/>
        <w:rPr>
          <w:rFonts w:hint="eastAsia" w:ascii="仿宋_GB2312" w:hAnsi="Times New Roman" w:eastAsia="仿宋_GB2312"/>
          <w:sz w:val="32"/>
          <w:szCs w:val="32"/>
        </w:rPr>
      </w:pPr>
      <w:r>
        <w:rPr>
          <w:rFonts w:hint="eastAsia" w:ascii="仿宋_GB2312" w:hAnsi="Times New Roman" w:eastAsia="仿宋_GB2312"/>
          <w:sz w:val="32"/>
          <w:szCs w:val="32"/>
        </w:rPr>
        <w:t>研究院直接考核公开招聘高层次专业技术人员评分细则</w:t>
      </w:r>
    </w:p>
    <w:p w14:paraId="21377724">
      <w:pPr>
        <w:spacing w:line="400" w:lineRule="exact"/>
        <w:jc w:val="both"/>
        <w:rPr>
          <w:rFonts w:ascii="方正小标宋_GBK" w:hAnsi="Courier New" w:eastAsia="方正小标宋_GBK" w:cs="Courier New"/>
          <w:sz w:val="36"/>
          <w:szCs w:val="36"/>
        </w:rPr>
      </w:pPr>
    </w:p>
    <w:p w14:paraId="23524E00">
      <w:pPr>
        <w:spacing w:line="586"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年度桂林市水利局所属事业单位桂林市水利电力勘测设计研究院直接考核公开招聘高层次专业技术人员的考核标准采取量化考核评分。具体量化内容及评分标准如下：</w:t>
      </w:r>
    </w:p>
    <w:p w14:paraId="39DA1769">
      <w:pPr>
        <w:spacing w:line="586" w:lineRule="exact"/>
        <w:ind w:firstLine="640" w:firstLineChars="200"/>
        <w:rPr>
          <w:rFonts w:ascii="黑体" w:hAnsi="黑体" w:eastAsia="黑体"/>
          <w:sz w:val="32"/>
          <w:szCs w:val="32"/>
        </w:rPr>
      </w:pPr>
      <w:bookmarkStart w:id="0" w:name="_GoBack"/>
      <w:bookmarkEnd w:id="0"/>
      <w:r>
        <w:rPr>
          <w:rFonts w:hint="eastAsia" w:ascii="黑体" w:hAnsi="黑体" w:eastAsia="黑体"/>
          <w:sz w:val="32"/>
          <w:szCs w:val="32"/>
        </w:rPr>
        <w:t>一、学历分（10分）</w:t>
      </w:r>
    </w:p>
    <w:p w14:paraId="2DDDCEB4">
      <w:pPr>
        <w:spacing w:line="586" w:lineRule="exact"/>
        <w:ind w:firstLine="584" w:firstLineChars="200"/>
        <w:rPr>
          <w:rFonts w:ascii="仿宋_GB2312" w:hAnsi="Times New Roman" w:eastAsia="仿宋_GB2312"/>
          <w:spacing w:val="-14"/>
          <w:sz w:val="32"/>
          <w:szCs w:val="32"/>
        </w:rPr>
      </w:pPr>
      <w:r>
        <w:rPr>
          <w:rFonts w:hint="eastAsia" w:ascii="仿宋_GB2312" w:hAnsi="Times New Roman" w:eastAsia="仿宋_GB2312"/>
          <w:spacing w:val="-14"/>
          <w:sz w:val="32"/>
          <w:szCs w:val="32"/>
          <w:lang w:val="en-US" w:eastAsia="zh-CN"/>
        </w:rPr>
        <w:t>博士研究生得10分；</w:t>
      </w:r>
      <w:r>
        <w:rPr>
          <w:rFonts w:hint="eastAsia" w:ascii="仿宋_GB2312" w:hAnsi="Times New Roman" w:eastAsia="仿宋_GB2312"/>
          <w:spacing w:val="-14"/>
          <w:sz w:val="32"/>
          <w:szCs w:val="32"/>
        </w:rPr>
        <w:t>硕士研究生得</w:t>
      </w:r>
      <w:r>
        <w:rPr>
          <w:rFonts w:hint="eastAsia" w:ascii="仿宋_GB2312" w:hAnsi="Times New Roman" w:eastAsia="仿宋_GB2312"/>
          <w:spacing w:val="-14"/>
          <w:sz w:val="32"/>
          <w:szCs w:val="32"/>
          <w:lang w:val="en-US" w:eastAsia="zh-CN"/>
        </w:rPr>
        <w:t>8</w:t>
      </w:r>
      <w:r>
        <w:rPr>
          <w:rFonts w:hint="eastAsia" w:ascii="仿宋_GB2312" w:hAnsi="Times New Roman" w:eastAsia="仿宋_GB2312"/>
          <w:spacing w:val="-14"/>
          <w:sz w:val="32"/>
          <w:szCs w:val="32"/>
        </w:rPr>
        <w:t>分；本科学历得</w:t>
      </w:r>
      <w:r>
        <w:rPr>
          <w:rFonts w:hint="eastAsia" w:ascii="仿宋_GB2312" w:hAnsi="Times New Roman" w:eastAsia="仿宋_GB2312"/>
          <w:spacing w:val="-14"/>
          <w:sz w:val="32"/>
          <w:szCs w:val="32"/>
          <w:lang w:val="en-US" w:eastAsia="zh-CN"/>
        </w:rPr>
        <w:t>6</w:t>
      </w:r>
      <w:r>
        <w:rPr>
          <w:rFonts w:hint="eastAsia" w:ascii="仿宋_GB2312" w:hAnsi="Times New Roman" w:eastAsia="仿宋_GB2312"/>
          <w:spacing w:val="-14"/>
          <w:sz w:val="32"/>
          <w:szCs w:val="32"/>
        </w:rPr>
        <w:t>分。</w:t>
      </w:r>
    </w:p>
    <w:p w14:paraId="22808279">
      <w:pPr>
        <w:spacing w:line="596" w:lineRule="exact"/>
        <w:ind w:firstLine="640" w:firstLineChars="200"/>
        <w:rPr>
          <w:rFonts w:ascii="仿宋_GB2312" w:hAnsi="Times New Roman" w:eastAsia="仿宋_GB2312"/>
          <w:spacing w:val="-14"/>
          <w:sz w:val="32"/>
          <w:szCs w:val="32"/>
        </w:rPr>
      </w:pPr>
      <w:r>
        <w:rPr>
          <w:rFonts w:hint="eastAsia" w:ascii="仿宋_GB2312" w:hAnsi="仿宋_GB2312" w:eastAsia="仿宋_GB2312" w:cs="仿宋_GB2312"/>
          <w:bCs/>
          <w:kern w:val="0"/>
          <w:sz w:val="32"/>
          <w:szCs w:val="32"/>
        </w:rPr>
        <w:t>考察方式：查看学历</w:t>
      </w:r>
      <w:r>
        <w:rPr>
          <w:rFonts w:hint="eastAsia" w:ascii="仿宋_GB2312" w:hAnsi="仿宋_GB2312" w:eastAsia="仿宋_GB2312" w:cs="仿宋_GB2312"/>
          <w:bCs/>
          <w:color w:val="auto"/>
          <w:kern w:val="0"/>
          <w:sz w:val="32"/>
          <w:szCs w:val="32"/>
          <w:highlight w:val="none"/>
        </w:rPr>
        <w:t>证书原件。</w:t>
      </w:r>
    </w:p>
    <w:p w14:paraId="0FC1BE37">
      <w:pPr>
        <w:spacing w:line="586" w:lineRule="exact"/>
        <w:ind w:firstLine="608" w:firstLineChars="200"/>
        <w:rPr>
          <w:rFonts w:ascii="黑体" w:hAnsi="黑体" w:eastAsia="黑体"/>
          <w:color w:val="auto"/>
          <w:sz w:val="32"/>
          <w:szCs w:val="32"/>
          <w:highlight w:val="none"/>
        </w:rPr>
      </w:pPr>
      <w:r>
        <w:rPr>
          <w:rFonts w:hint="eastAsia" w:ascii="黑体" w:hAnsi="黑体" w:eastAsia="黑体"/>
          <w:bCs/>
          <w:spacing w:val="-8"/>
          <w:sz w:val="32"/>
          <w:szCs w:val="32"/>
        </w:rPr>
        <w:t>二</w:t>
      </w:r>
      <w:r>
        <w:rPr>
          <w:rFonts w:hint="eastAsia" w:ascii="黑体" w:hAnsi="黑体" w:eastAsia="黑体"/>
          <w:sz w:val="32"/>
          <w:szCs w:val="32"/>
        </w:rPr>
        <w:t>、技术职称分及取得年限分</w:t>
      </w:r>
      <w:r>
        <w:rPr>
          <w:rFonts w:hint="eastAsia" w:ascii="黑体" w:hAnsi="黑体" w:eastAsia="黑体"/>
          <w:color w:val="auto"/>
          <w:sz w:val="32"/>
          <w:szCs w:val="32"/>
          <w:highlight w:val="none"/>
        </w:rPr>
        <w:t>（</w:t>
      </w:r>
      <w:r>
        <w:rPr>
          <w:rFonts w:hint="eastAsia" w:ascii="黑体" w:hAnsi="黑体" w:eastAsia="黑体"/>
          <w:color w:val="auto"/>
          <w:sz w:val="32"/>
          <w:szCs w:val="32"/>
          <w:highlight w:val="none"/>
          <w:lang w:val="en-US" w:eastAsia="zh-CN"/>
        </w:rPr>
        <w:t>1</w:t>
      </w:r>
      <w:r>
        <w:rPr>
          <w:rFonts w:hint="eastAsia" w:ascii="黑体" w:hAnsi="黑体" w:eastAsia="黑体"/>
          <w:color w:val="auto"/>
          <w:sz w:val="32"/>
          <w:szCs w:val="32"/>
          <w:highlight w:val="none"/>
        </w:rPr>
        <w:t>0分）</w:t>
      </w:r>
    </w:p>
    <w:p w14:paraId="7FC93771">
      <w:pPr>
        <w:spacing w:line="586" w:lineRule="exact"/>
        <w:ind w:firstLine="640" w:firstLineChars="20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（一）技术职称分（</w:t>
      </w:r>
      <w:r>
        <w:rPr>
          <w:rFonts w:hint="eastAsia" w:ascii="仿宋_GB2312" w:hAnsi="Times New Roman" w:eastAsia="仿宋_GB2312"/>
          <w:sz w:val="32"/>
          <w:szCs w:val="32"/>
          <w:highlight w:val="none"/>
          <w:lang w:val="en-US" w:eastAsia="zh-CN"/>
        </w:rPr>
        <w:t>5</w:t>
      </w:r>
      <w:r>
        <w:rPr>
          <w:rFonts w:hint="eastAsia" w:ascii="仿宋_GB2312" w:hAnsi="Times New Roman" w:eastAsia="仿宋_GB2312"/>
          <w:sz w:val="32"/>
          <w:szCs w:val="32"/>
          <w:highlight w:val="none"/>
        </w:rPr>
        <w:t>分）：正高级工程师职称得</w:t>
      </w:r>
      <w:r>
        <w:rPr>
          <w:rFonts w:hint="eastAsia" w:ascii="仿宋_GB2312" w:hAnsi="Times New Roman" w:eastAsia="仿宋_GB2312"/>
          <w:sz w:val="32"/>
          <w:szCs w:val="32"/>
          <w:highlight w:val="none"/>
          <w:lang w:val="en-US" w:eastAsia="zh-CN"/>
        </w:rPr>
        <w:t>5</w:t>
      </w:r>
      <w:r>
        <w:rPr>
          <w:rFonts w:hint="eastAsia" w:ascii="仿宋_GB2312" w:hAnsi="Times New Roman" w:eastAsia="仿宋_GB2312"/>
          <w:sz w:val="32"/>
          <w:szCs w:val="32"/>
          <w:highlight w:val="none"/>
        </w:rPr>
        <w:t>分；副高级工程师职称得</w:t>
      </w:r>
      <w:r>
        <w:rPr>
          <w:rFonts w:hint="eastAsia" w:ascii="仿宋_GB2312" w:hAnsi="Times New Roman" w:eastAsia="仿宋_GB2312"/>
          <w:sz w:val="32"/>
          <w:szCs w:val="32"/>
          <w:highlight w:val="none"/>
          <w:lang w:val="en-US" w:eastAsia="zh-CN"/>
        </w:rPr>
        <w:t>3</w:t>
      </w:r>
      <w:r>
        <w:rPr>
          <w:rFonts w:hint="eastAsia" w:ascii="仿宋_GB2312" w:hAnsi="Times New Roman" w:eastAsia="仿宋_GB2312"/>
          <w:sz w:val="32"/>
          <w:szCs w:val="32"/>
          <w:highlight w:val="none"/>
        </w:rPr>
        <w:t>分。</w:t>
      </w:r>
    </w:p>
    <w:p w14:paraId="058EB050">
      <w:pPr>
        <w:spacing w:line="586" w:lineRule="exact"/>
        <w:ind w:firstLine="640" w:firstLineChars="20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（二）取得副高级工程师职称年限分（5分）：自取得副高级工程师职称以来每年得1分，不满六个月按半年计算得0.5分，满六个月不满一年按一年计算得1分，满分为5分。</w:t>
      </w:r>
    </w:p>
    <w:p w14:paraId="610386EF">
      <w:pPr>
        <w:spacing w:line="596" w:lineRule="exact"/>
        <w:ind w:firstLine="640" w:firstLineChars="200"/>
        <w:rPr>
          <w:rFonts w:hint="eastAsia" w:ascii="仿宋_GB2312" w:hAnsi="Times New Roman" w:eastAsia="仿宋_GB2312"/>
          <w:sz w:val="32"/>
          <w:szCs w:val="32"/>
          <w:highlight w:val="none"/>
        </w:rPr>
      </w:pPr>
      <w:r>
        <w:rPr>
          <w:rFonts w:hint="eastAsia" w:ascii="仿宋_GB2312" w:hAnsi="仿宋_GB2312" w:eastAsia="仿宋_GB2312" w:cs="仿宋_GB2312"/>
          <w:bCs/>
          <w:kern w:val="0"/>
          <w:sz w:val="32"/>
          <w:szCs w:val="32"/>
        </w:rPr>
        <w:t>考察方式：</w:t>
      </w:r>
      <w:r>
        <w:rPr>
          <w:rFonts w:hint="eastAsia" w:ascii="仿宋_GB2312" w:hAnsi="仿宋_GB2312" w:eastAsia="仿宋_GB2312" w:cs="仿宋_GB2312"/>
          <w:bCs/>
          <w:color w:val="auto"/>
          <w:kern w:val="0"/>
          <w:sz w:val="32"/>
          <w:szCs w:val="32"/>
        </w:rPr>
        <w:t>查看</w:t>
      </w:r>
      <w:r>
        <w:rPr>
          <w:rFonts w:hint="eastAsia" w:ascii="仿宋_GB2312" w:hAnsi="仿宋_GB2312" w:eastAsia="仿宋_GB2312" w:cs="仿宋_GB2312"/>
          <w:bCs/>
          <w:color w:val="auto"/>
          <w:kern w:val="0"/>
          <w:sz w:val="32"/>
          <w:szCs w:val="32"/>
          <w:lang w:val="en-US" w:eastAsia="zh-CN"/>
        </w:rPr>
        <w:t>职称</w:t>
      </w:r>
      <w:r>
        <w:rPr>
          <w:rFonts w:hint="eastAsia" w:ascii="仿宋_GB2312" w:hAnsi="仿宋_GB2312" w:eastAsia="仿宋_GB2312" w:cs="仿宋_GB2312"/>
          <w:bCs/>
          <w:color w:val="auto"/>
          <w:kern w:val="0"/>
          <w:sz w:val="32"/>
          <w:szCs w:val="32"/>
        </w:rPr>
        <w:t>证书（或批复文件等）</w:t>
      </w:r>
      <w:r>
        <w:rPr>
          <w:rFonts w:hint="eastAsia" w:ascii="仿宋_GB2312" w:hAnsi="仿宋_GB2312" w:eastAsia="仿宋_GB2312" w:cs="仿宋_GB2312"/>
          <w:bCs/>
          <w:color w:val="auto"/>
          <w:kern w:val="0"/>
          <w:sz w:val="32"/>
          <w:szCs w:val="32"/>
          <w:lang w:val="en-US" w:eastAsia="zh-CN"/>
        </w:rPr>
        <w:t>原件。</w:t>
      </w:r>
    </w:p>
    <w:p w14:paraId="231294D3">
      <w:pPr>
        <w:spacing w:line="586" w:lineRule="exact"/>
        <w:ind w:firstLine="640" w:firstLineChars="200"/>
        <w:rPr>
          <w:rFonts w:ascii="黑体" w:hAnsi="黑体" w:eastAsia="黑体"/>
          <w:sz w:val="32"/>
          <w:szCs w:val="32"/>
          <w:highlight w:val="none"/>
        </w:rPr>
      </w:pPr>
      <w:r>
        <w:rPr>
          <w:rFonts w:hint="eastAsia" w:ascii="黑体" w:hAnsi="黑体" w:eastAsia="黑体"/>
          <w:sz w:val="32"/>
          <w:szCs w:val="32"/>
        </w:rPr>
        <w:t>三、从事本专业工作年限分（</w:t>
      </w:r>
      <w:r>
        <w:rPr>
          <w:rFonts w:hint="eastAsia" w:ascii="黑体" w:hAnsi="黑体" w:eastAsia="黑体"/>
          <w:sz w:val="32"/>
          <w:szCs w:val="32"/>
          <w:lang w:val="en-US" w:eastAsia="zh-CN"/>
        </w:rPr>
        <w:t>1</w:t>
      </w:r>
      <w:r>
        <w:rPr>
          <w:rFonts w:hint="eastAsia" w:ascii="黑体" w:hAnsi="黑体" w:eastAsia="黑体"/>
          <w:sz w:val="32"/>
          <w:szCs w:val="32"/>
          <w:highlight w:val="none"/>
        </w:rPr>
        <w:t>0分）</w:t>
      </w:r>
    </w:p>
    <w:p w14:paraId="4FB3D2E7">
      <w:pPr>
        <w:spacing w:line="596" w:lineRule="exact"/>
        <w:ind w:firstLine="640" w:firstLineChars="200"/>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从事本专业技术工作，每年得1分，不满六个月按半年计算得0.5分，满六个月不满一年按一年计算得1分，满分为</w:t>
      </w:r>
      <w:r>
        <w:rPr>
          <w:rFonts w:hint="eastAsia" w:ascii="仿宋_GB2312" w:hAnsi="Times New Roman" w:eastAsia="仿宋_GB2312"/>
          <w:sz w:val="32"/>
          <w:szCs w:val="32"/>
          <w:highlight w:val="none"/>
          <w:lang w:val="en-US" w:eastAsia="zh-CN"/>
        </w:rPr>
        <w:t>10</w:t>
      </w:r>
      <w:r>
        <w:rPr>
          <w:rFonts w:hint="eastAsia" w:ascii="仿宋_GB2312" w:hAnsi="Times New Roman" w:eastAsia="仿宋_GB2312"/>
          <w:sz w:val="32"/>
          <w:szCs w:val="32"/>
          <w:highlight w:val="none"/>
        </w:rPr>
        <w:t>分。</w:t>
      </w:r>
    </w:p>
    <w:p w14:paraId="3AF3CEC0">
      <w:pPr>
        <w:spacing w:line="596" w:lineRule="exact"/>
        <w:ind w:firstLine="640" w:firstLineChars="200"/>
        <w:rPr>
          <w:rFonts w:ascii="仿宋_GB2312" w:hAnsi="Times New Roman" w:eastAsia="仿宋_GB2312"/>
          <w:sz w:val="32"/>
          <w:szCs w:val="32"/>
        </w:rPr>
      </w:pPr>
      <w:r>
        <w:rPr>
          <w:rFonts w:hint="eastAsia" w:ascii="仿宋_GB2312" w:hAnsi="仿宋_GB2312" w:eastAsia="仿宋_GB2312" w:cs="仿宋_GB2312"/>
          <w:bCs/>
          <w:kern w:val="0"/>
          <w:sz w:val="32"/>
          <w:szCs w:val="32"/>
        </w:rPr>
        <w:t>考察方式：单位工作证明</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单位缴交养老保险证</w:t>
      </w:r>
      <w:r>
        <w:rPr>
          <w:rFonts w:hint="eastAsia" w:ascii="仿宋_GB2312" w:hAnsi="仿宋_GB2312" w:eastAsia="仿宋_GB2312" w:cs="仿宋_GB2312"/>
          <w:bCs/>
          <w:color w:val="auto"/>
          <w:kern w:val="0"/>
          <w:sz w:val="32"/>
          <w:szCs w:val="32"/>
          <w:highlight w:val="none"/>
          <w:lang w:val="en-US" w:eastAsia="zh-CN"/>
        </w:rPr>
        <w:t>明，其他相关证明材料</w:t>
      </w:r>
      <w:r>
        <w:rPr>
          <w:rFonts w:hint="eastAsia" w:ascii="仿宋_GB2312" w:hAnsi="仿宋_GB2312" w:eastAsia="仿宋_GB2312" w:cs="仿宋_GB2312"/>
          <w:bCs/>
          <w:color w:val="auto"/>
          <w:kern w:val="0"/>
          <w:sz w:val="32"/>
          <w:szCs w:val="32"/>
          <w:highlight w:val="none"/>
        </w:rPr>
        <w:t>。</w:t>
      </w:r>
    </w:p>
    <w:p w14:paraId="3A1E3147">
      <w:pPr>
        <w:spacing w:line="586" w:lineRule="exact"/>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val="en-US" w:eastAsia="zh-CN"/>
        </w:rPr>
        <w:t>资格资历</w:t>
      </w:r>
      <w:r>
        <w:rPr>
          <w:rFonts w:hint="eastAsia" w:ascii="黑体" w:hAnsi="黑体" w:eastAsia="黑体"/>
          <w:color w:val="auto"/>
          <w:sz w:val="32"/>
          <w:szCs w:val="32"/>
        </w:rPr>
        <w:t>分</w:t>
      </w:r>
      <w:r>
        <w:rPr>
          <w:rFonts w:hint="eastAsia" w:ascii="黑体" w:hAnsi="黑体" w:eastAsia="黑体"/>
          <w:sz w:val="32"/>
          <w:szCs w:val="32"/>
        </w:rPr>
        <w:t>(</w:t>
      </w:r>
      <w:r>
        <w:rPr>
          <w:rFonts w:hint="eastAsia" w:ascii="黑体" w:hAnsi="黑体" w:eastAsia="黑体"/>
          <w:sz w:val="32"/>
          <w:szCs w:val="32"/>
          <w:lang w:val="en-US" w:eastAsia="zh-CN"/>
        </w:rPr>
        <w:t>累计总分值不超过</w:t>
      </w:r>
      <w:r>
        <w:rPr>
          <w:rFonts w:hint="eastAsia" w:ascii="黑体" w:hAnsi="黑体" w:eastAsia="黑体"/>
          <w:sz w:val="32"/>
          <w:szCs w:val="32"/>
        </w:rPr>
        <w:t>20分)</w:t>
      </w:r>
    </w:p>
    <w:p w14:paraId="51DC13D8">
      <w:pPr>
        <w:spacing w:line="586" w:lineRule="exact"/>
        <w:ind w:firstLine="640" w:firstLineChars="200"/>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持有本专业相关的执业资格证书。</w:t>
      </w:r>
    </w:p>
    <w:p w14:paraId="211C4A73">
      <w:pPr>
        <w:spacing w:line="586" w:lineRule="exact"/>
        <w:ind w:firstLine="640" w:firstLineChars="200"/>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注册土木工程师（岩土）得20分；注册土木工程师（水利水电）得10分；一级造价工程师（水利工程）得10分；二级造价工程师（水利工程）得5分；咨询工程师（投资）得10分。</w:t>
      </w:r>
    </w:p>
    <w:p w14:paraId="27227378">
      <w:pPr>
        <w:spacing w:line="586" w:lineRule="exact"/>
        <w:ind w:firstLine="640" w:firstLineChars="200"/>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考察方式：查看证书原件。</w:t>
      </w:r>
    </w:p>
    <w:p w14:paraId="390C8A0F">
      <w:pPr>
        <w:spacing w:line="586" w:lineRule="exact"/>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w:t>
      </w:r>
      <w:r>
        <w:rPr>
          <w:rFonts w:hint="eastAsia" w:ascii="黑体" w:hAnsi="黑体" w:eastAsia="黑体"/>
          <w:sz w:val="32"/>
          <w:szCs w:val="32"/>
          <w:lang w:val="en-US" w:eastAsia="zh-CN"/>
        </w:rPr>
        <w:t>荣</w:t>
      </w:r>
      <w:r>
        <w:rPr>
          <w:rFonts w:hint="eastAsia" w:ascii="黑体" w:hAnsi="黑体" w:eastAsia="黑体"/>
          <w:color w:val="auto"/>
          <w:sz w:val="32"/>
          <w:szCs w:val="32"/>
        </w:rPr>
        <w:t>誉分</w:t>
      </w:r>
      <w:r>
        <w:rPr>
          <w:rFonts w:hint="eastAsia" w:ascii="黑体" w:hAnsi="黑体" w:eastAsia="黑体"/>
          <w:sz w:val="32"/>
          <w:szCs w:val="32"/>
        </w:rPr>
        <w:t>(</w:t>
      </w:r>
      <w:r>
        <w:rPr>
          <w:rFonts w:hint="eastAsia" w:ascii="黑体" w:hAnsi="黑体" w:eastAsia="黑体"/>
          <w:sz w:val="32"/>
          <w:szCs w:val="32"/>
          <w:lang w:val="en-US" w:eastAsia="zh-CN"/>
        </w:rPr>
        <w:t>累计总分值不超过1</w:t>
      </w:r>
      <w:r>
        <w:rPr>
          <w:rFonts w:hint="eastAsia" w:ascii="黑体" w:hAnsi="黑体" w:eastAsia="黑体"/>
          <w:sz w:val="32"/>
          <w:szCs w:val="32"/>
        </w:rPr>
        <w:t>0分)</w:t>
      </w:r>
    </w:p>
    <w:p w14:paraId="4E68EE1C">
      <w:pPr>
        <w:spacing w:line="586" w:lineRule="exact"/>
        <w:ind w:firstLine="640" w:firstLineChars="200"/>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rPr>
        <w:t>近五年以来获</w:t>
      </w:r>
      <w:r>
        <w:rPr>
          <w:rFonts w:hint="eastAsia" w:ascii="仿宋_GB2312" w:hAnsi="仿宋_GB2312" w:eastAsia="仿宋_GB2312" w:cs="仿宋_GB2312"/>
          <w:bCs/>
          <w:kern w:val="0"/>
          <w:sz w:val="32"/>
          <w:szCs w:val="32"/>
          <w:highlight w:val="none"/>
        </w:rPr>
        <w:t>得</w:t>
      </w:r>
      <w:r>
        <w:rPr>
          <w:rFonts w:hint="eastAsia" w:ascii="仿宋_GB2312" w:hAnsi="仿宋_GB2312" w:eastAsia="仿宋_GB2312" w:cs="仿宋_GB2312"/>
          <w:bCs/>
          <w:kern w:val="0"/>
          <w:sz w:val="32"/>
          <w:szCs w:val="32"/>
          <w:highlight w:val="none"/>
          <w:lang w:val="en-US" w:eastAsia="zh-CN"/>
        </w:rPr>
        <w:t>本专业勘察设计类</w:t>
      </w:r>
      <w:r>
        <w:rPr>
          <w:rFonts w:hint="eastAsia" w:ascii="仿宋_GB2312" w:hAnsi="仿宋_GB2312" w:eastAsia="仿宋_GB2312" w:cs="仿宋_GB2312"/>
          <w:bCs/>
          <w:kern w:val="0"/>
          <w:sz w:val="32"/>
          <w:szCs w:val="32"/>
          <w:highlight w:val="none"/>
        </w:rPr>
        <w:t>省部级</w:t>
      </w:r>
      <w:r>
        <w:rPr>
          <w:rFonts w:hint="eastAsia" w:ascii="仿宋_GB2312" w:hAnsi="仿宋_GB2312" w:eastAsia="仿宋_GB2312" w:cs="仿宋_GB2312"/>
          <w:bCs/>
          <w:kern w:val="0"/>
          <w:sz w:val="32"/>
          <w:szCs w:val="32"/>
          <w:highlight w:val="none"/>
          <w:lang w:val="en-US" w:eastAsia="zh-CN"/>
        </w:rPr>
        <w:t>及以上</w:t>
      </w:r>
      <w:r>
        <w:rPr>
          <w:rFonts w:hint="eastAsia" w:ascii="仿宋_GB2312" w:hAnsi="仿宋_GB2312" w:eastAsia="仿宋_GB2312" w:cs="仿宋_GB2312"/>
          <w:bCs/>
          <w:kern w:val="0"/>
          <w:sz w:val="32"/>
          <w:szCs w:val="32"/>
          <w:highlight w:val="none"/>
        </w:rPr>
        <w:t>奖励每项得</w:t>
      </w:r>
      <w:r>
        <w:rPr>
          <w:rFonts w:hint="eastAsia" w:ascii="仿宋_GB2312" w:hAnsi="仿宋_GB2312" w:eastAsia="仿宋_GB2312" w:cs="仿宋_GB2312"/>
          <w:bCs/>
          <w:kern w:val="0"/>
          <w:sz w:val="32"/>
          <w:szCs w:val="32"/>
          <w:highlight w:val="none"/>
          <w:lang w:val="en-US" w:eastAsia="zh-CN"/>
        </w:rPr>
        <w:t>2</w:t>
      </w:r>
      <w:r>
        <w:rPr>
          <w:rFonts w:hint="eastAsia" w:ascii="仿宋_GB2312" w:hAnsi="仿宋_GB2312" w:eastAsia="仿宋_GB2312" w:cs="仿宋_GB2312"/>
          <w:bCs/>
          <w:kern w:val="0"/>
          <w:sz w:val="32"/>
          <w:szCs w:val="32"/>
          <w:highlight w:val="none"/>
        </w:rPr>
        <w:t>分；获得市厅级奖励每项得</w:t>
      </w:r>
      <w:r>
        <w:rPr>
          <w:rFonts w:hint="eastAsia" w:ascii="仿宋_GB2312" w:hAnsi="仿宋_GB2312" w:eastAsia="仿宋_GB2312" w:cs="仿宋_GB2312"/>
          <w:bCs/>
          <w:kern w:val="0"/>
          <w:sz w:val="32"/>
          <w:szCs w:val="32"/>
          <w:highlight w:val="none"/>
          <w:lang w:val="en-US" w:eastAsia="zh-CN"/>
        </w:rPr>
        <w:t>1</w:t>
      </w:r>
      <w:r>
        <w:rPr>
          <w:rFonts w:hint="eastAsia" w:ascii="仿宋_GB2312" w:hAnsi="仿宋_GB2312" w:eastAsia="仿宋_GB2312" w:cs="仿宋_GB2312"/>
          <w:bCs/>
          <w:kern w:val="0"/>
          <w:sz w:val="32"/>
          <w:szCs w:val="32"/>
          <w:highlight w:val="none"/>
        </w:rPr>
        <w:t>分。</w:t>
      </w:r>
    </w:p>
    <w:p w14:paraId="3C8C07FA">
      <w:pPr>
        <w:spacing w:line="586" w:lineRule="exact"/>
        <w:ind w:firstLine="640" w:firstLineChars="200"/>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kern w:val="0"/>
          <w:sz w:val="32"/>
          <w:szCs w:val="32"/>
          <w:highlight w:val="none"/>
        </w:rPr>
        <w:t>考察方</w:t>
      </w:r>
      <w:r>
        <w:rPr>
          <w:rFonts w:hint="eastAsia" w:ascii="仿宋_GB2312" w:hAnsi="仿宋_GB2312" w:eastAsia="仿宋_GB2312" w:cs="仿宋_GB2312"/>
          <w:bCs/>
          <w:color w:val="auto"/>
          <w:kern w:val="0"/>
          <w:sz w:val="32"/>
          <w:szCs w:val="32"/>
          <w:highlight w:val="none"/>
        </w:rPr>
        <w:t>式：查看</w:t>
      </w:r>
      <w:r>
        <w:rPr>
          <w:rFonts w:hint="eastAsia" w:ascii="仿宋_GB2312" w:hAnsi="Times New Roman" w:eastAsia="仿宋_GB2312"/>
          <w:color w:val="auto"/>
          <w:sz w:val="32"/>
          <w:szCs w:val="32"/>
          <w:highlight w:val="none"/>
        </w:rPr>
        <w:t>获奖</w:t>
      </w:r>
      <w:r>
        <w:rPr>
          <w:rFonts w:hint="eastAsia" w:ascii="仿宋_GB2312" w:hAnsi="仿宋_GB2312" w:eastAsia="仿宋_GB2312" w:cs="仿宋_GB2312"/>
          <w:bCs/>
          <w:color w:val="auto"/>
          <w:kern w:val="0"/>
          <w:sz w:val="32"/>
          <w:szCs w:val="32"/>
          <w:highlight w:val="none"/>
        </w:rPr>
        <w:t>证书（或</w:t>
      </w:r>
      <w:r>
        <w:rPr>
          <w:rFonts w:hint="eastAsia" w:ascii="仿宋_GB2312" w:hAnsi="Times New Roman" w:eastAsia="仿宋_GB2312"/>
          <w:color w:val="auto"/>
          <w:sz w:val="32"/>
          <w:szCs w:val="32"/>
          <w:highlight w:val="none"/>
        </w:rPr>
        <w:t>获奖</w:t>
      </w:r>
      <w:r>
        <w:rPr>
          <w:rFonts w:hint="eastAsia" w:ascii="仿宋_GB2312" w:hAnsi="仿宋_GB2312" w:eastAsia="仿宋_GB2312" w:cs="仿宋_GB2312"/>
          <w:bCs/>
          <w:color w:val="auto"/>
          <w:kern w:val="0"/>
          <w:sz w:val="32"/>
          <w:szCs w:val="32"/>
          <w:highlight w:val="none"/>
        </w:rPr>
        <w:t>批复文件等）</w:t>
      </w:r>
      <w:r>
        <w:rPr>
          <w:rFonts w:hint="eastAsia" w:ascii="仿宋_GB2312" w:hAnsi="仿宋_GB2312" w:eastAsia="仿宋_GB2312" w:cs="仿宋_GB2312"/>
          <w:bCs/>
          <w:color w:val="auto"/>
          <w:kern w:val="0"/>
          <w:sz w:val="32"/>
          <w:szCs w:val="32"/>
          <w:highlight w:val="none"/>
          <w:lang w:val="en-US" w:eastAsia="zh-CN"/>
        </w:rPr>
        <w:t>原件。</w:t>
      </w:r>
    </w:p>
    <w:p w14:paraId="66E5115B">
      <w:pPr>
        <w:spacing w:line="586" w:lineRule="exact"/>
        <w:ind w:firstLine="640" w:firstLineChars="200"/>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按要求填写《</w:t>
      </w:r>
      <w:r>
        <w:rPr>
          <w:rFonts w:hint="eastAsia" w:ascii="仿宋_GB2312" w:hAnsi="仿宋_GB2312" w:eastAsia="仿宋_GB2312" w:cs="仿宋_GB2312"/>
          <w:bCs/>
          <w:color w:val="auto"/>
          <w:kern w:val="0"/>
          <w:sz w:val="32"/>
          <w:szCs w:val="32"/>
          <w:highlight w:val="none"/>
        </w:rPr>
        <w:t>获奖项目汇总表</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（附件</w:t>
      </w:r>
      <w:r>
        <w:rPr>
          <w:rFonts w:hint="eastAsia" w:ascii="仿宋_GB2312" w:hAnsi="仿宋_GB2312" w:eastAsia="仿宋_GB2312" w:cs="仿宋_GB2312"/>
          <w:bCs/>
          <w:color w:val="auto"/>
          <w:kern w:val="0"/>
          <w:sz w:val="32"/>
          <w:szCs w:val="32"/>
          <w:highlight w:val="none"/>
          <w:lang w:val="en-US" w:eastAsia="zh-CN"/>
        </w:rPr>
        <w:t>5</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含序号、项目名称、获奖级别</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获奖</w:t>
      </w:r>
      <w:r>
        <w:rPr>
          <w:rFonts w:hint="eastAsia" w:ascii="仿宋_GB2312" w:hAnsi="仿宋_GB2312" w:eastAsia="仿宋_GB2312" w:cs="仿宋_GB2312"/>
          <w:bCs/>
          <w:color w:val="auto"/>
          <w:kern w:val="0"/>
          <w:sz w:val="32"/>
          <w:szCs w:val="32"/>
          <w:highlight w:val="none"/>
        </w:rPr>
        <w:t>等</w:t>
      </w:r>
      <w:r>
        <w:rPr>
          <w:rFonts w:hint="eastAsia" w:ascii="仿宋_GB2312" w:hAnsi="仿宋_GB2312" w:eastAsia="仿宋_GB2312" w:cs="仿宋_GB2312"/>
          <w:bCs/>
          <w:color w:val="auto"/>
          <w:kern w:val="0"/>
          <w:sz w:val="32"/>
          <w:szCs w:val="32"/>
          <w:highlight w:val="none"/>
          <w:lang w:val="en-US" w:eastAsia="zh-CN"/>
        </w:rPr>
        <w:t>次</w:t>
      </w:r>
      <w:r>
        <w:rPr>
          <w:rFonts w:hint="eastAsia" w:ascii="仿宋_GB2312" w:hAnsi="仿宋_GB2312" w:eastAsia="仿宋_GB2312" w:cs="仿宋_GB2312"/>
          <w:bCs/>
          <w:color w:val="auto"/>
          <w:kern w:val="0"/>
          <w:sz w:val="32"/>
          <w:szCs w:val="32"/>
          <w:highlight w:val="none"/>
          <w:lang w:eastAsia="zh-CN"/>
        </w:rPr>
        <w:t>。</w:t>
      </w:r>
    </w:p>
    <w:p w14:paraId="73D5F63C">
      <w:pPr>
        <w:spacing w:line="586"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rPr>
        <w:t>、业绩分（</w:t>
      </w:r>
      <w:r>
        <w:rPr>
          <w:rFonts w:hint="eastAsia" w:ascii="黑体" w:hAnsi="黑体" w:eastAsia="黑体"/>
          <w:color w:val="auto"/>
          <w:sz w:val="32"/>
          <w:szCs w:val="32"/>
          <w:highlight w:val="none"/>
          <w:lang w:val="en-US" w:eastAsia="zh-CN"/>
        </w:rPr>
        <w:t>累计总分值不超过40</w:t>
      </w:r>
      <w:r>
        <w:rPr>
          <w:rFonts w:hint="eastAsia" w:ascii="黑体" w:hAnsi="黑体" w:eastAsia="黑体"/>
          <w:color w:val="auto"/>
          <w:sz w:val="32"/>
          <w:szCs w:val="32"/>
          <w:highlight w:val="none"/>
        </w:rPr>
        <w:t>分）</w:t>
      </w:r>
    </w:p>
    <w:p w14:paraId="7DF98B9A">
      <w:pPr>
        <w:spacing w:line="586"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近五年内承担</w:t>
      </w:r>
      <w:r>
        <w:rPr>
          <w:rFonts w:hint="eastAsia" w:ascii="仿宋_GB2312" w:hAnsi="仿宋_GB2312" w:eastAsia="仿宋_GB2312" w:cs="仿宋_GB2312"/>
          <w:bCs/>
          <w:color w:val="auto"/>
          <w:kern w:val="0"/>
          <w:sz w:val="32"/>
          <w:szCs w:val="32"/>
          <w:highlight w:val="none"/>
          <w:lang w:val="en-US" w:eastAsia="zh-CN"/>
        </w:rPr>
        <w:t>过水库枢纽、引调水、灌溉排涝、河道整治、城市防洪、围垦、水土保持、水文设施等工程</w:t>
      </w:r>
      <w:r>
        <w:rPr>
          <w:rFonts w:hint="eastAsia" w:ascii="仿宋_GB2312" w:hAnsi="仿宋_GB2312" w:eastAsia="仿宋_GB2312" w:cs="仿宋_GB2312"/>
          <w:bCs/>
          <w:color w:val="auto"/>
          <w:kern w:val="0"/>
          <w:sz w:val="32"/>
          <w:szCs w:val="32"/>
          <w:highlight w:val="none"/>
        </w:rPr>
        <w:t>勘察设计的业绩。</w:t>
      </w:r>
    </w:p>
    <w:p w14:paraId="768CF706">
      <w:pPr>
        <w:spacing w:line="586" w:lineRule="exact"/>
        <w:ind w:firstLine="640" w:firstLineChars="200"/>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rPr>
        <w:t>完成大型项目每项</w:t>
      </w:r>
      <w:r>
        <w:rPr>
          <w:rFonts w:hint="eastAsia" w:ascii="仿宋_GB2312" w:hAnsi="仿宋_GB2312" w:eastAsia="仿宋_GB2312" w:cs="仿宋_GB2312"/>
          <w:bCs/>
          <w:color w:val="auto"/>
          <w:kern w:val="0"/>
          <w:sz w:val="32"/>
          <w:szCs w:val="32"/>
          <w:highlight w:val="none"/>
          <w:lang w:val="en-US" w:eastAsia="zh-CN"/>
        </w:rPr>
        <w:t>得8</w:t>
      </w:r>
      <w:r>
        <w:rPr>
          <w:rFonts w:hint="eastAsia" w:ascii="仿宋_GB2312" w:hAnsi="仿宋_GB2312" w:eastAsia="仿宋_GB2312" w:cs="仿宋_GB2312"/>
          <w:bCs/>
          <w:color w:val="auto"/>
          <w:kern w:val="0"/>
          <w:sz w:val="32"/>
          <w:szCs w:val="32"/>
          <w:highlight w:val="none"/>
        </w:rPr>
        <w:t>分；完成中型项目每项得</w:t>
      </w:r>
      <w:r>
        <w:rPr>
          <w:rFonts w:hint="eastAsia" w:ascii="仿宋_GB2312" w:hAnsi="仿宋_GB2312" w:eastAsia="仿宋_GB2312" w:cs="仿宋_GB2312"/>
          <w:bCs/>
          <w:color w:val="auto"/>
          <w:kern w:val="0"/>
          <w:sz w:val="32"/>
          <w:szCs w:val="32"/>
          <w:highlight w:val="none"/>
          <w:lang w:val="en-US" w:eastAsia="zh-CN"/>
        </w:rPr>
        <w:t>4</w:t>
      </w:r>
      <w:r>
        <w:rPr>
          <w:rFonts w:hint="eastAsia" w:ascii="仿宋_GB2312" w:hAnsi="仿宋_GB2312" w:eastAsia="仿宋_GB2312" w:cs="仿宋_GB2312"/>
          <w:bCs/>
          <w:color w:val="auto"/>
          <w:kern w:val="0"/>
          <w:sz w:val="32"/>
          <w:szCs w:val="32"/>
          <w:highlight w:val="none"/>
        </w:rPr>
        <w:t>分；完成中型以下（不含中型）项目每项得</w:t>
      </w:r>
      <w:r>
        <w:rPr>
          <w:rFonts w:hint="eastAsia" w:ascii="仿宋_GB2312" w:hAnsi="仿宋_GB2312" w:eastAsia="仿宋_GB2312" w:cs="仿宋_GB2312"/>
          <w:bCs/>
          <w:color w:val="auto"/>
          <w:kern w:val="0"/>
          <w:sz w:val="32"/>
          <w:szCs w:val="32"/>
          <w:highlight w:val="none"/>
          <w:lang w:val="en-US" w:eastAsia="zh-CN"/>
        </w:rPr>
        <w:t>2</w:t>
      </w:r>
      <w:r>
        <w:rPr>
          <w:rFonts w:hint="eastAsia" w:ascii="仿宋_GB2312" w:hAnsi="仿宋_GB2312" w:eastAsia="仿宋_GB2312" w:cs="仿宋_GB2312"/>
          <w:bCs/>
          <w:color w:val="auto"/>
          <w:kern w:val="0"/>
          <w:sz w:val="32"/>
          <w:szCs w:val="32"/>
          <w:highlight w:val="none"/>
        </w:rPr>
        <w:t>分</w:t>
      </w:r>
      <w:r>
        <w:rPr>
          <w:rFonts w:hint="eastAsia" w:ascii="仿宋_GB2312" w:hAnsi="仿宋_GB2312" w:eastAsia="仿宋_GB2312" w:cs="仿宋_GB2312"/>
          <w:bCs/>
          <w:color w:val="auto"/>
          <w:kern w:val="0"/>
          <w:sz w:val="32"/>
          <w:szCs w:val="32"/>
          <w:highlight w:val="none"/>
          <w:lang w:eastAsia="zh-CN"/>
        </w:rPr>
        <w:t>。</w:t>
      </w:r>
    </w:p>
    <w:p w14:paraId="1492D23B">
      <w:pPr>
        <w:spacing w:line="586"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kern w:val="0"/>
          <w:sz w:val="32"/>
          <w:szCs w:val="32"/>
          <w:highlight w:val="none"/>
        </w:rPr>
        <w:t>考察</w:t>
      </w:r>
      <w:r>
        <w:rPr>
          <w:rFonts w:hint="eastAsia" w:ascii="仿宋_GB2312" w:hAnsi="仿宋_GB2312" w:eastAsia="仿宋_GB2312" w:cs="仿宋_GB2312"/>
          <w:bCs/>
          <w:color w:val="auto"/>
          <w:kern w:val="0"/>
          <w:sz w:val="32"/>
          <w:szCs w:val="32"/>
          <w:highlight w:val="none"/>
        </w:rPr>
        <w:t>方式：查看报告书扉页或编审人员表（复印件）、项目批复文件（可研或初步设计阶段）（复印件）。</w:t>
      </w:r>
    </w:p>
    <w:p w14:paraId="2F6CCE5F">
      <w:pPr>
        <w:spacing w:line="586" w:lineRule="exact"/>
        <w:ind w:firstLine="640" w:firstLineChars="200"/>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按要求填写《</w:t>
      </w:r>
      <w:r>
        <w:rPr>
          <w:rFonts w:hint="eastAsia" w:ascii="仿宋_GB2312" w:hAnsi="仿宋_GB2312" w:eastAsia="仿宋_GB2312" w:cs="仿宋_GB2312"/>
          <w:bCs/>
          <w:color w:val="auto"/>
          <w:kern w:val="0"/>
          <w:sz w:val="32"/>
          <w:szCs w:val="32"/>
          <w:highlight w:val="none"/>
        </w:rPr>
        <w:t>项目汇总表</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附件6</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含序号、项目名称、</w:t>
      </w:r>
      <w:r>
        <w:rPr>
          <w:rFonts w:hint="eastAsia" w:ascii="仿宋_GB2312" w:hAnsi="仿宋_GB2312" w:eastAsia="仿宋_GB2312" w:cs="仿宋_GB2312"/>
          <w:bCs/>
          <w:color w:val="auto"/>
          <w:kern w:val="0"/>
          <w:sz w:val="32"/>
          <w:szCs w:val="32"/>
          <w:highlight w:val="none"/>
          <w:lang w:val="en-US" w:eastAsia="zh-CN"/>
        </w:rPr>
        <w:t>项目规模、</w:t>
      </w:r>
      <w:r>
        <w:rPr>
          <w:rFonts w:hint="eastAsia" w:ascii="仿宋_GB2312" w:hAnsi="仿宋_GB2312" w:eastAsia="仿宋_GB2312" w:cs="仿宋_GB2312"/>
          <w:bCs/>
          <w:color w:val="auto"/>
          <w:kern w:val="0"/>
          <w:sz w:val="32"/>
          <w:szCs w:val="32"/>
          <w:highlight w:val="none"/>
        </w:rPr>
        <w:t>投资、项目起始时间</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US" w:eastAsia="zh-CN"/>
        </w:rPr>
        <w:t>批复文号。</w:t>
      </w:r>
    </w:p>
    <w:p w14:paraId="1CCEF176">
      <w:pPr>
        <w:spacing w:line="586" w:lineRule="exact"/>
        <w:ind w:firstLine="640" w:firstLineChars="200"/>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《水利行业建设项目设计规模划分表》详见附件7</w:t>
      </w:r>
      <w:r>
        <w:rPr>
          <w:rFonts w:hint="eastAsia" w:ascii="仿宋_GB2312" w:hAnsi="仿宋_GB2312" w:eastAsia="仿宋_GB2312" w:cs="仿宋_GB2312"/>
          <w:bCs/>
          <w:color w:val="auto"/>
          <w:kern w:val="0"/>
          <w:sz w:val="32"/>
          <w:szCs w:val="32"/>
          <w:highlight w:val="none"/>
          <w:lang w:eastAsia="zh-CN"/>
        </w:rPr>
        <w:t>。</w:t>
      </w:r>
    </w:p>
    <w:p w14:paraId="1275FC75">
      <w:pPr>
        <w:pStyle w:val="6"/>
        <w:widowControl/>
        <w:spacing w:before="0" w:beforeAutospacing="0" w:after="0" w:afterAutospacing="0" w:line="586" w:lineRule="exact"/>
        <w:ind w:firstLine="640" w:firstLineChars="200"/>
        <w:jc w:val="both"/>
        <w:rPr>
          <w:rFonts w:ascii="仿宋_GB2312" w:hAnsi="黑体" w:eastAsia="仿宋_GB2312"/>
          <w:sz w:val="32"/>
          <w:szCs w:val="32"/>
        </w:rPr>
      </w:pPr>
      <w:r>
        <w:rPr>
          <w:rFonts w:hint="eastAsia" w:ascii="仿宋_GB2312" w:hAnsi="黑体" w:eastAsia="仿宋_GB2312"/>
          <w:bCs/>
          <w:sz w:val="32"/>
          <w:szCs w:val="32"/>
        </w:rPr>
        <w:t>本次招聘量化评分考核细则，年限计算截止日期202</w:t>
      </w:r>
      <w:r>
        <w:rPr>
          <w:rFonts w:hint="eastAsia" w:ascii="仿宋_GB2312" w:hAnsi="黑体" w:eastAsia="仿宋_GB2312"/>
          <w:bCs/>
          <w:sz w:val="32"/>
          <w:szCs w:val="32"/>
          <w:lang w:val="en-US" w:eastAsia="zh-CN"/>
        </w:rPr>
        <w:t>4</w:t>
      </w:r>
      <w:r>
        <w:rPr>
          <w:rFonts w:hint="eastAsia" w:ascii="仿宋_GB2312" w:hAnsi="黑体" w:eastAsia="仿宋_GB2312"/>
          <w:bCs/>
          <w:sz w:val="32"/>
          <w:szCs w:val="32"/>
          <w:highlight w:val="none"/>
        </w:rPr>
        <w:t>年</w:t>
      </w:r>
      <w:r>
        <w:rPr>
          <w:rFonts w:hint="eastAsia" w:ascii="仿宋_GB2312" w:hAnsi="黑体" w:eastAsia="仿宋_GB2312"/>
          <w:bCs/>
          <w:sz w:val="32"/>
          <w:szCs w:val="32"/>
          <w:highlight w:val="none"/>
          <w:lang w:val="en-US" w:eastAsia="zh-CN"/>
        </w:rPr>
        <w:t>12</w:t>
      </w:r>
      <w:r>
        <w:rPr>
          <w:rFonts w:hint="eastAsia" w:ascii="仿宋_GB2312" w:hAnsi="黑体" w:eastAsia="仿宋_GB2312"/>
          <w:bCs/>
          <w:sz w:val="32"/>
          <w:szCs w:val="32"/>
          <w:highlight w:val="none"/>
        </w:rPr>
        <w:t>月</w:t>
      </w:r>
      <w:r>
        <w:rPr>
          <w:rFonts w:hint="eastAsia" w:ascii="仿宋_GB2312" w:hAnsi="黑体" w:eastAsia="仿宋_GB2312"/>
          <w:bCs/>
          <w:sz w:val="32"/>
          <w:szCs w:val="32"/>
          <w:highlight w:val="none"/>
          <w:lang w:val="en-US" w:eastAsia="zh-CN"/>
        </w:rPr>
        <w:t>12</w:t>
      </w:r>
      <w:r>
        <w:rPr>
          <w:rFonts w:hint="eastAsia" w:ascii="仿宋_GB2312" w:hAnsi="黑体" w:eastAsia="仿宋_GB2312"/>
          <w:bCs/>
          <w:sz w:val="32"/>
          <w:szCs w:val="32"/>
          <w:highlight w:val="none"/>
        </w:rPr>
        <w:t>日</w:t>
      </w:r>
      <w:r>
        <w:rPr>
          <w:rFonts w:hint="eastAsia" w:ascii="仿宋_GB2312" w:hAnsi="黑体" w:eastAsia="仿宋_GB2312"/>
          <w:bCs/>
          <w:sz w:val="22"/>
          <w:szCs w:val="22"/>
          <w:highlight w:val="none"/>
        </w:rPr>
        <w:t>，</w:t>
      </w:r>
      <w:r>
        <w:rPr>
          <w:rFonts w:hint="eastAsia" w:ascii="仿宋_GB2312" w:hAnsi="黑体" w:eastAsia="仿宋_GB2312"/>
          <w:bCs/>
          <w:sz w:val="32"/>
          <w:szCs w:val="32"/>
          <w:highlight w:val="none"/>
        </w:rPr>
        <w:t>年限按足年足月累计。考核总分满分为1</w:t>
      </w:r>
      <w:r>
        <w:rPr>
          <w:rFonts w:hint="eastAsia" w:ascii="仿宋_GB2312" w:hAnsi="黑体" w:eastAsia="仿宋_GB2312"/>
          <w:bCs/>
          <w:sz w:val="32"/>
          <w:szCs w:val="32"/>
        </w:rPr>
        <w:t>00</w:t>
      </w:r>
      <w:r>
        <w:rPr>
          <w:rFonts w:hint="eastAsia" w:ascii="仿宋_GB2312" w:hAnsi="黑体" w:eastAsia="仿宋_GB2312"/>
          <w:bCs/>
          <w:color w:val="auto"/>
          <w:sz w:val="32"/>
          <w:szCs w:val="32"/>
        </w:rPr>
        <w:t>分，经考核后按从高到低的顺序排序，</w:t>
      </w:r>
      <w:r>
        <w:rPr>
          <w:rFonts w:hint="eastAsia" w:ascii="仿宋_GB2312" w:hAnsi="黑体" w:eastAsia="仿宋_GB2312"/>
          <w:bCs/>
          <w:color w:val="auto"/>
          <w:sz w:val="32"/>
          <w:szCs w:val="32"/>
          <w:lang w:val="en-US" w:eastAsia="zh-CN"/>
        </w:rPr>
        <w:t>总分排名前者确定为考察人选</w:t>
      </w:r>
      <w:r>
        <w:rPr>
          <w:rFonts w:hint="eastAsia" w:ascii="仿宋_GB2312" w:hAnsi="黑体" w:eastAsia="仿宋_GB2312"/>
          <w:bCs/>
          <w:color w:val="auto"/>
          <w:sz w:val="32"/>
          <w:szCs w:val="32"/>
        </w:rPr>
        <w:t>。</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WYyMTdhMTI0MDAxOTAzMmUyOGVlMWU0M2NjNjgifQ=="/>
  </w:docVars>
  <w:rsids>
    <w:rsidRoot w:val="005B7632"/>
    <w:rsid w:val="00030AEA"/>
    <w:rsid w:val="000568FB"/>
    <w:rsid w:val="000742FD"/>
    <w:rsid w:val="0008404A"/>
    <w:rsid w:val="000B3851"/>
    <w:rsid w:val="000C4001"/>
    <w:rsid w:val="000E727D"/>
    <w:rsid w:val="000F048C"/>
    <w:rsid w:val="001168F1"/>
    <w:rsid w:val="00124F3A"/>
    <w:rsid w:val="00144340"/>
    <w:rsid w:val="001A3EFD"/>
    <w:rsid w:val="00247A53"/>
    <w:rsid w:val="00255CAF"/>
    <w:rsid w:val="00267E2A"/>
    <w:rsid w:val="002839EC"/>
    <w:rsid w:val="002A163B"/>
    <w:rsid w:val="002A3856"/>
    <w:rsid w:val="0032108E"/>
    <w:rsid w:val="0033060B"/>
    <w:rsid w:val="003D51D7"/>
    <w:rsid w:val="004413D8"/>
    <w:rsid w:val="00443006"/>
    <w:rsid w:val="004F707A"/>
    <w:rsid w:val="00540DCC"/>
    <w:rsid w:val="005579C1"/>
    <w:rsid w:val="00591180"/>
    <w:rsid w:val="0059525C"/>
    <w:rsid w:val="005B7632"/>
    <w:rsid w:val="005E09F2"/>
    <w:rsid w:val="005E785A"/>
    <w:rsid w:val="00640366"/>
    <w:rsid w:val="00664552"/>
    <w:rsid w:val="00672A3A"/>
    <w:rsid w:val="00690BAF"/>
    <w:rsid w:val="006A6F5D"/>
    <w:rsid w:val="006C11F1"/>
    <w:rsid w:val="006E047D"/>
    <w:rsid w:val="006F482C"/>
    <w:rsid w:val="007C03EF"/>
    <w:rsid w:val="007C7BFA"/>
    <w:rsid w:val="007F3A51"/>
    <w:rsid w:val="00857513"/>
    <w:rsid w:val="008858BF"/>
    <w:rsid w:val="008B3370"/>
    <w:rsid w:val="009A7B01"/>
    <w:rsid w:val="009D0EF4"/>
    <w:rsid w:val="00A84FFF"/>
    <w:rsid w:val="00A94BD7"/>
    <w:rsid w:val="00B374FB"/>
    <w:rsid w:val="00BC00AC"/>
    <w:rsid w:val="00C24046"/>
    <w:rsid w:val="00C24B77"/>
    <w:rsid w:val="00C41FB3"/>
    <w:rsid w:val="00C45B22"/>
    <w:rsid w:val="00C768E6"/>
    <w:rsid w:val="00C85898"/>
    <w:rsid w:val="00C87889"/>
    <w:rsid w:val="00C87C9D"/>
    <w:rsid w:val="00CA695B"/>
    <w:rsid w:val="00CC4D77"/>
    <w:rsid w:val="00D211A2"/>
    <w:rsid w:val="00D4655D"/>
    <w:rsid w:val="00D47044"/>
    <w:rsid w:val="00DA4C8F"/>
    <w:rsid w:val="00DE6BBF"/>
    <w:rsid w:val="00E16029"/>
    <w:rsid w:val="00E70CF7"/>
    <w:rsid w:val="00E76F1A"/>
    <w:rsid w:val="00E80A9B"/>
    <w:rsid w:val="00E9556D"/>
    <w:rsid w:val="00F35311"/>
    <w:rsid w:val="00F93E2E"/>
    <w:rsid w:val="010827C0"/>
    <w:rsid w:val="028D2601"/>
    <w:rsid w:val="02B132F3"/>
    <w:rsid w:val="03793971"/>
    <w:rsid w:val="06E20BE6"/>
    <w:rsid w:val="071E4FBC"/>
    <w:rsid w:val="08036534"/>
    <w:rsid w:val="08137959"/>
    <w:rsid w:val="09E95403"/>
    <w:rsid w:val="0A062518"/>
    <w:rsid w:val="0A362C8D"/>
    <w:rsid w:val="0BE90A00"/>
    <w:rsid w:val="105454D3"/>
    <w:rsid w:val="115E3871"/>
    <w:rsid w:val="116747F6"/>
    <w:rsid w:val="149C10FD"/>
    <w:rsid w:val="14D52428"/>
    <w:rsid w:val="14F371D1"/>
    <w:rsid w:val="165A0BD8"/>
    <w:rsid w:val="1A313997"/>
    <w:rsid w:val="1CA31F8B"/>
    <w:rsid w:val="1D623AB5"/>
    <w:rsid w:val="1D7B21DF"/>
    <w:rsid w:val="1DEB5794"/>
    <w:rsid w:val="1EC82D18"/>
    <w:rsid w:val="20EC252F"/>
    <w:rsid w:val="210F1485"/>
    <w:rsid w:val="21D84004"/>
    <w:rsid w:val="229C14D7"/>
    <w:rsid w:val="24727BE5"/>
    <w:rsid w:val="25664C67"/>
    <w:rsid w:val="25EE7CC3"/>
    <w:rsid w:val="263268D2"/>
    <w:rsid w:val="277045BB"/>
    <w:rsid w:val="28467FBC"/>
    <w:rsid w:val="2B265158"/>
    <w:rsid w:val="2BFE48DC"/>
    <w:rsid w:val="2D0D650D"/>
    <w:rsid w:val="2E170DAB"/>
    <w:rsid w:val="30FC3F6A"/>
    <w:rsid w:val="31CF1C6B"/>
    <w:rsid w:val="32D052B6"/>
    <w:rsid w:val="32FA75FC"/>
    <w:rsid w:val="34C73277"/>
    <w:rsid w:val="369E6CC5"/>
    <w:rsid w:val="36B55120"/>
    <w:rsid w:val="36C82B5B"/>
    <w:rsid w:val="36CF77F0"/>
    <w:rsid w:val="376111EE"/>
    <w:rsid w:val="38114C51"/>
    <w:rsid w:val="38191907"/>
    <w:rsid w:val="391E0687"/>
    <w:rsid w:val="39741363"/>
    <w:rsid w:val="39E6202B"/>
    <w:rsid w:val="3ABA5F10"/>
    <w:rsid w:val="3D5F6905"/>
    <w:rsid w:val="3FB04F80"/>
    <w:rsid w:val="40CE74E8"/>
    <w:rsid w:val="41807B75"/>
    <w:rsid w:val="42212B91"/>
    <w:rsid w:val="439F7D1C"/>
    <w:rsid w:val="45911580"/>
    <w:rsid w:val="466320EB"/>
    <w:rsid w:val="46D43F14"/>
    <w:rsid w:val="47824CFB"/>
    <w:rsid w:val="47A33136"/>
    <w:rsid w:val="47DC4370"/>
    <w:rsid w:val="4A085E44"/>
    <w:rsid w:val="4C0107BD"/>
    <w:rsid w:val="4CB46DC7"/>
    <w:rsid w:val="4CC30D8F"/>
    <w:rsid w:val="4CFE2F52"/>
    <w:rsid w:val="4D573DAB"/>
    <w:rsid w:val="4DDB1629"/>
    <w:rsid w:val="4F3F2F0E"/>
    <w:rsid w:val="5135683F"/>
    <w:rsid w:val="51564B6A"/>
    <w:rsid w:val="527E2264"/>
    <w:rsid w:val="52A762A0"/>
    <w:rsid w:val="533F64A2"/>
    <w:rsid w:val="535403ED"/>
    <w:rsid w:val="53C22C8A"/>
    <w:rsid w:val="53F23E5D"/>
    <w:rsid w:val="5415331A"/>
    <w:rsid w:val="55B420C7"/>
    <w:rsid w:val="561847E8"/>
    <w:rsid w:val="563D1277"/>
    <w:rsid w:val="5A09396D"/>
    <w:rsid w:val="5C2576DB"/>
    <w:rsid w:val="5D970F47"/>
    <w:rsid w:val="610A7165"/>
    <w:rsid w:val="61F55F9A"/>
    <w:rsid w:val="6209643D"/>
    <w:rsid w:val="679B218F"/>
    <w:rsid w:val="6BAE5991"/>
    <w:rsid w:val="6C2B3266"/>
    <w:rsid w:val="6C5D7D56"/>
    <w:rsid w:val="6D314B41"/>
    <w:rsid w:val="6EEA6756"/>
    <w:rsid w:val="6F6D2448"/>
    <w:rsid w:val="71075B52"/>
    <w:rsid w:val="71CA6819"/>
    <w:rsid w:val="71D52EF1"/>
    <w:rsid w:val="732C4CFF"/>
    <w:rsid w:val="76191423"/>
    <w:rsid w:val="784075AF"/>
    <w:rsid w:val="78E431C9"/>
    <w:rsid w:val="797C3823"/>
    <w:rsid w:val="7A9E45ED"/>
    <w:rsid w:val="7BD86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semiHidden/>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szCs w:val="24"/>
    </w:rPr>
  </w:style>
  <w:style w:type="character" w:customStyle="1" w:styleId="9">
    <w:name w:val="页脚 Char"/>
    <w:link w:val="4"/>
    <w:qFormat/>
    <w:uiPriority w:val="0"/>
    <w:rPr>
      <w:rFonts w:ascii="Calibri" w:hAnsi="Calibri"/>
      <w:kern w:val="2"/>
      <w:sz w:val="18"/>
      <w:szCs w:val="18"/>
    </w:rPr>
  </w:style>
  <w:style w:type="character" w:customStyle="1" w:styleId="10">
    <w:name w:val="页眉 Char"/>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1034</Words>
  <Characters>1066</Characters>
  <Lines>8</Lines>
  <Paragraphs>2</Paragraphs>
  <TotalTime>1</TotalTime>
  <ScaleCrop>false</ScaleCrop>
  <LinksUpToDate>false</LinksUpToDate>
  <CharactersWithSpaces>1066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2023-08-25T02:40:00Z</dcterms:created>
  <dc:creator>微软用户</dc:creator>
  <cp:lastModifiedBy>Janet</cp:lastModifiedBy>
  <cp:lastPrinted>2024-12-02T09:13:00Z</cp:lastPrinted>
  <dcterms:modified xsi:type="dcterms:W3CDTF">2024-12-03T05:49:56Z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213319416_cloud</vt:lpwstr>
  </property>
  <property fmtid="{D5CDD505-2E9C-101B-9397-08002B2CF9AE}" pid="4" name="ICV">
    <vt:lpwstr>93DD25A132A74BB88E609888C11042A3_13</vt:lpwstr>
  </property>
</Properties>
</file>