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C1A1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6066DB43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5CA366D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13FD6D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D1FC52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4CCA9AA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439E86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4331107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（硕士/博士）在读人员。该生在校期间所修课程全部合格，无违纪记录，如毕业论文顺利通过答辩，可在2025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年7月31日前取得相应学历学位。               </w:t>
      </w:r>
    </w:p>
    <w:p w14:paraId="41F8C53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B4A4E3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33172B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777951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A08B3E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64E88A2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B806D47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2024-11-13T02:37:13Z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BB3C1A0534C1470EA5B213AD9DBDFB43_12</vt:lpwstr>
  </property>
</Properties>
</file>