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  <w:t>内设机构正职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tbl>
      <w:tblPr>
        <w:tblStyle w:val="3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06"/>
        <w:gridCol w:w="1435"/>
        <w:gridCol w:w="825"/>
        <w:gridCol w:w="690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386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政策研究部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处长（五级职员）</w:t>
            </w: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公共卫生与预防医学类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公共管理（1204）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1.具备北京市常住户口；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2.符合五级职员专业技术任职条件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，取得研究员资格满5年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3.具备5年以上政策理论研究工作经验；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具有较深厚的科研和学术素养，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近5年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作为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国家重要科研项目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负责人或子课题负责人（国自然、国家科技重大专项、国家重点研发计划、国社科）；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以第一作者/通讯作者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身份在国内国际高水平学术期刊发表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优先聘用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4.年龄不超过48周岁。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精神障碍防治部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处长（五级职员）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符合五级职员专业技术任职条件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，取得主任医师、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主任技师资格满5年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3.具备5年以上精神科临床工作经验；具有较深厚的科研和学术素养，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近5年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作为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国家重要科研项目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负责人或子课题负责人（国自然、国家科技重大专项、国家重点研发计划、国社科）；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以第一作者/通讯作者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身份在国内国际高水平学术期刊发表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优先聘用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4.年龄不超过48周岁。</w:t>
            </w:r>
          </w:p>
        </w:tc>
      </w:tr>
    </w:tbl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lang w:bidi="ar"/>
        </w:rPr>
      </w:pP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高等学历教育各阶段均需取得学历和学位，应聘人员须以最高学历所学专业报考。</w:t>
      </w:r>
    </w:p>
    <w:p>
      <w:pPr>
        <w:widowControl/>
        <w:numPr>
          <w:ilvl w:val="0"/>
          <w:numId w:val="1"/>
        </w:numPr>
        <w:spacing w:line="240" w:lineRule="auto"/>
        <w:jc w:val="left"/>
        <w:textAlignment w:val="center"/>
        <w:outlineLvl w:val="9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以上学科类别、专业名称和代码参照教育部公布的《普通高等学校本科专业目录（2020年）》和《学位授予和人才培养学科目录（2018年）》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对于所学专业接近但不在上述参考目录中的，考生可以报名，以笔试确认通知为准。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272D4CC2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72D4CC2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2024-11-19T06:54:00Z</dcterms:created>
  <dc:creator>朱慧</dc:creator>
  <cp:lastModifiedBy>朱慧</cp:lastModifiedBy>
  <dcterms:modified xsi:type="dcterms:W3CDTF">2024-11-19T06:55:20Z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6E61FB4245084EBBB84A6FC8C36217C2_11</vt:lpwstr>
  </property>
</Properties>
</file>