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1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00"/>
      </w:tblGrid>
      <w:tr w14:paraId="1289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000" w:hRule="atLeast"/>
        </w:trPr>
        <w:tc>
          <w:tcPr>
            <w:tcW w:w="1500" w:type="dxa"/>
            <w:tcBorders>
              <w:top w:val="nil"/>
              <w:left w:val="nil"/>
              <w:bottom w:val="nil"/>
              <w:right w:val="nil"/>
            </w:tcBorders>
            <w:shd w:val="clear"/>
            <w:tcMar>
              <w:top w:w="20" w:type="dxa"/>
              <w:left w:w="20" w:type="dxa"/>
              <w:bottom w:w="20" w:type="dxa"/>
              <w:right w:w="20" w:type="dxa"/>
            </w:tcMar>
            <w:vAlign w:val="center"/>
          </w:tcPr>
          <w:p w14:paraId="0AF030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8"/>
                <w:szCs w:val="28"/>
              </w:rPr>
            </w:pPr>
            <w:r>
              <w:rPr>
                <w:rFonts w:ascii="仿宋" w:hAnsi="仿宋" w:eastAsia="仿宋" w:cs="仿宋"/>
                <w:b w:val="0"/>
                <w:bCs w:val="0"/>
                <w:i w:val="0"/>
                <w:iCs w:val="0"/>
                <w:caps w:val="0"/>
                <w:color w:val="333333"/>
                <w:spacing w:val="0"/>
                <w:sz w:val="28"/>
                <w:szCs w:val="28"/>
                <w:u w:val="none"/>
                <w:bdr w:val="none" w:color="auto" w:sz="0" w:space="0"/>
              </w:rPr>
              <w:br w:type="textWrapping"/>
            </w:r>
            <w:r>
              <w:rPr>
                <w:rFonts w:hint="default" w:ascii="仿宋" w:hAnsi="仿宋" w:eastAsia="仿宋" w:cs="仿宋"/>
                <w:b w:val="0"/>
                <w:bCs w:val="0"/>
                <w:i w:val="0"/>
                <w:iCs w:val="0"/>
                <w:caps w:val="0"/>
                <w:color w:val="333333"/>
                <w:spacing w:val="0"/>
                <w:sz w:val="28"/>
                <w:szCs w:val="28"/>
                <w:u w:val="none"/>
                <w:bdr w:val="none" w:color="auto" w:sz="0" w:space="0"/>
              </w:rPr>
              <w:t>附件1</w:t>
            </w:r>
          </w:p>
        </w:tc>
      </w:tr>
    </w:tbl>
    <w:p w14:paraId="734F3A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40" w:lineRule="atLeast"/>
        <w:ind w:left="0" w:right="0" w:firstLine="0"/>
        <w:jc w:val="center"/>
        <w:rPr>
          <w:rFonts w:ascii="微软雅黑" w:hAnsi="微软雅黑" w:eastAsia="微软雅黑" w:cs="微软雅黑"/>
          <w:b w:val="0"/>
          <w:bCs w:val="0"/>
          <w:i w:val="0"/>
          <w:iCs w:val="0"/>
          <w:caps w:val="0"/>
          <w:color w:val="333333"/>
          <w:spacing w:val="0"/>
          <w:sz w:val="30"/>
          <w:szCs w:val="30"/>
          <w:u w:val="none"/>
        </w:rPr>
      </w:pPr>
      <w:r>
        <w:rPr>
          <w:rFonts w:ascii="方正小标宋简体" w:hAnsi="方正小标宋简体" w:eastAsia="方正小标宋简体" w:cs="方正小标宋简体"/>
          <w:b w:val="0"/>
          <w:bCs w:val="0"/>
          <w:i w:val="0"/>
          <w:iCs w:val="0"/>
          <w:caps w:val="0"/>
          <w:color w:val="333333"/>
          <w:spacing w:val="0"/>
          <w:sz w:val="58"/>
          <w:szCs w:val="58"/>
          <w:u w:val="none"/>
          <w:bdr w:val="none" w:color="auto" w:sz="0" w:space="0"/>
        </w:rPr>
        <w:t>路桥区国有企业公开招聘国企编制工作人员职位一览表</w:t>
      </w:r>
    </w:p>
    <w:tbl>
      <w:tblPr>
        <w:tblW w:w="2086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80"/>
        <w:gridCol w:w="757"/>
        <w:gridCol w:w="2605"/>
        <w:gridCol w:w="993"/>
        <w:gridCol w:w="993"/>
        <w:gridCol w:w="1150"/>
        <w:gridCol w:w="1150"/>
        <w:gridCol w:w="1150"/>
        <w:gridCol w:w="3161"/>
        <w:gridCol w:w="914"/>
        <w:gridCol w:w="2256"/>
        <w:gridCol w:w="4751"/>
      </w:tblGrid>
      <w:tr w14:paraId="20466F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660" w:hRule="atLeast"/>
          <w:jc w:val="center"/>
        </w:trPr>
        <w:tc>
          <w:tcPr>
            <w:tcW w:w="820" w:type="dxa"/>
            <w:vMerge w:val="restart"/>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2E641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ascii="黑体" w:hAnsi="宋体" w:eastAsia="黑体" w:cs="黑体"/>
                <w:sz w:val="30"/>
                <w:szCs w:val="30"/>
                <w:bdr w:val="none" w:color="auto" w:sz="0" w:space="0"/>
              </w:rPr>
              <w:t>单位</w:t>
            </w:r>
          </w:p>
        </w:tc>
        <w:tc>
          <w:tcPr>
            <w:tcW w:w="760" w:type="dxa"/>
            <w:vMerge w:val="restart"/>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247C1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序号</w:t>
            </w:r>
          </w:p>
        </w:tc>
        <w:tc>
          <w:tcPr>
            <w:tcW w:w="4620" w:type="dxa"/>
            <w:gridSpan w:val="3"/>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0FE1E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招聘计划</w:t>
            </w:r>
          </w:p>
        </w:tc>
        <w:tc>
          <w:tcPr>
            <w:tcW w:w="14660" w:type="dxa"/>
            <w:gridSpan w:val="7"/>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06656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所需资格条件</w:t>
            </w:r>
          </w:p>
        </w:tc>
      </w:tr>
      <w:tr w14:paraId="7D4F3D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920" w:hRule="atLeast"/>
          <w:jc w:val="center"/>
        </w:trPr>
        <w:tc>
          <w:tcPr>
            <w:tcW w:w="820" w:type="dxa"/>
            <w:vMerge w:val="continue"/>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6CF4FCAD">
            <w:pPr>
              <w:rPr>
                <w:rFonts w:hint="eastAsia" w:ascii="宋体"/>
                <w:sz w:val="24"/>
                <w:szCs w:val="24"/>
              </w:rPr>
            </w:pPr>
          </w:p>
        </w:tc>
        <w:tc>
          <w:tcPr>
            <w:tcW w:w="760" w:type="dxa"/>
            <w:vMerge w:val="continue"/>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3427E5A5">
            <w:pPr>
              <w:rPr>
                <w:rFonts w:hint="eastAsia" w:ascii="宋体"/>
                <w:sz w:val="24"/>
                <w:szCs w:val="24"/>
              </w:rPr>
            </w:pP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F6AC5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招聘岗位</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7320F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招聘人数</w:t>
            </w:r>
          </w:p>
        </w:tc>
        <w:tc>
          <w:tcPr>
            <w:tcW w:w="100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4D509B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性别</w:t>
            </w:r>
          </w:p>
        </w:tc>
        <w:tc>
          <w:tcPr>
            <w:tcW w:w="11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24EF0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年龄</w:t>
            </w:r>
          </w:p>
        </w:tc>
        <w:tc>
          <w:tcPr>
            <w:tcW w:w="11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61FA81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学历</w:t>
            </w:r>
          </w:p>
        </w:tc>
        <w:tc>
          <w:tcPr>
            <w:tcW w:w="116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18B57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学位</w:t>
            </w:r>
          </w:p>
        </w:tc>
        <w:tc>
          <w:tcPr>
            <w:tcW w:w="320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3355F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专业要求</w:t>
            </w:r>
          </w:p>
        </w:tc>
        <w:tc>
          <w:tcPr>
            <w:tcW w:w="92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36C62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户籍</w:t>
            </w:r>
          </w:p>
        </w:tc>
        <w:tc>
          <w:tcPr>
            <w:tcW w:w="228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4043A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其他要求</w:t>
            </w:r>
          </w:p>
        </w:tc>
        <w:tc>
          <w:tcPr>
            <w:tcW w:w="4800" w:type="dxa"/>
            <w:tcBorders>
              <w:top w:val="single" w:color="auto" w:sz="8" w:space="0"/>
              <w:left w:val="single" w:color="auto" w:sz="8" w:space="0"/>
              <w:bottom w:val="single" w:color="auto" w:sz="8" w:space="0"/>
              <w:right w:val="single" w:color="auto" w:sz="8" w:space="0"/>
            </w:tcBorders>
            <w:shd w:val="clear"/>
            <w:tcMar>
              <w:left w:w="140" w:type="dxa"/>
              <w:right w:w="140" w:type="dxa"/>
            </w:tcMar>
            <w:vAlign w:val="center"/>
          </w:tcPr>
          <w:p w14:paraId="66B36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黑体" w:hAnsi="宋体" w:eastAsia="黑体" w:cs="黑体"/>
                <w:sz w:val="30"/>
                <w:szCs w:val="30"/>
                <w:bdr w:val="none" w:color="auto" w:sz="0" w:space="0"/>
              </w:rPr>
              <w:t>备注</w:t>
            </w:r>
          </w:p>
        </w:tc>
      </w:tr>
      <w:tr w14:paraId="751C5F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780" w:hRule="atLeast"/>
          <w:jc w:val="center"/>
        </w:trPr>
        <w:tc>
          <w:tcPr>
            <w:tcW w:w="820" w:type="dxa"/>
            <w:vMerge w:val="restart"/>
            <w:tcBorders>
              <w:top w:val="nil"/>
              <w:left w:val="single" w:color="auto" w:sz="8" w:space="0"/>
              <w:bottom w:val="single" w:color="auto" w:sz="8" w:space="0"/>
              <w:right w:val="single" w:color="auto" w:sz="8" w:space="0"/>
            </w:tcBorders>
            <w:shd w:val="clear"/>
            <w:tcMar>
              <w:left w:w="140" w:type="dxa"/>
              <w:right w:w="140" w:type="dxa"/>
            </w:tcMar>
            <w:vAlign w:val="center"/>
          </w:tcPr>
          <w:p w14:paraId="18328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0" w:lineRule="atLeast"/>
              <w:ind w:left="160" w:right="160"/>
              <w:jc w:val="center"/>
              <w:rPr>
                <w:sz w:val="28"/>
                <w:szCs w:val="28"/>
              </w:rPr>
            </w:pPr>
            <w:r>
              <w:rPr>
                <w:rFonts w:hint="default" w:ascii="仿宋" w:hAnsi="仿宋" w:eastAsia="仿宋" w:cs="仿宋"/>
                <w:sz w:val="38"/>
                <w:szCs w:val="38"/>
                <w:bdr w:val="none" w:color="auto" w:sz="0" w:space="0"/>
              </w:rPr>
              <w:t>大地城市运营管理有限公司</w:t>
            </w: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C8CCD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079C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会计岗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1EB2B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C3FFD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24B1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691D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37105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7832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财务管理、会计、会计学、财务会计与审计</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43A68E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4665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仿宋" w:hAnsi="仿宋" w:eastAsia="仿宋" w:cs="仿宋"/>
                <w:sz w:val="30"/>
                <w:szCs w:val="30"/>
                <w:bdr w:val="none" w:color="auto" w:sz="0" w:space="0"/>
              </w:rPr>
              <w:t>具有会计初级及以上专业技术资格，从事相关工作经验</w:t>
            </w: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年及以上。</w:t>
            </w: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8537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eastAsia="仿宋" w:cs="Times New Roman"/>
                <w:sz w:val="30"/>
                <w:szCs w:val="30"/>
                <w:bdr w:val="none" w:color="auto" w:sz="0" w:space="0"/>
              </w:rPr>
              <w:t>1.</w:t>
            </w:r>
            <w:r>
              <w:rPr>
                <w:rFonts w:hint="default" w:ascii="仿宋" w:hAnsi="仿宋" w:eastAsia="仿宋" w:cs="仿宋"/>
                <w:sz w:val="30"/>
                <w:szCs w:val="30"/>
                <w:bdr w:val="none" w:color="auto" w:sz="0" w:space="0"/>
              </w:rPr>
              <w:t>具有会计中级职称的，可放宽至</w:t>
            </w:r>
            <w:r>
              <w:rPr>
                <w:rFonts w:hint="default" w:ascii="Times New Roman" w:hAnsi="Times New Roman" w:eastAsia="仿宋" w:cs="Times New Roman"/>
                <w:sz w:val="30"/>
                <w:szCs w:val="30"/>
                <w:bdr w:val="none" w:color="auto" w:sz="0" w:space="0"/>
              </w:rPr>
              <w:t>35</w:t>
            </w:r>
            <w:r>
              <w:rPr>
                <w:rFonts w:hint="default" w:ascii="仿宋" w:hAnsi="仿宋" w:eastAsia="仿宋" w:cs="仿宋"/>
                <w:sz w:val="30"/>
                <w:szCs w:val="30"/>
                <w:bdr w:val="none" w:color="auto" w:sz="0" w:space="0"/>
              </w:rPr>
              <w:t>周岁及以下。</w:t>
            </w:r>
          </w:p>
          <w:p w14:paraId="11752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cs="Times New Roman"/>
                <w:sz w:val="30"/>
                <w:szCs w:val="30"/>
                <w:bdr w:val="none" w:color="auto" w:sz="0" w:space="0"/>
              </w:rPr>
              <w:t> </w:t>
            </w:r>
          </w:p>
        </w:tc>
      </w:tr>
      <w:tr w14:paraId="26124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780" w:hRule="atLeast"/>
          <w:jc w:val="center"/>
        </w:trPr>
        <w:tc>
          <w:tcPr>
            <w:tcW w:w="82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14:paraId="4C48C65B">
            <w:pPr>
              <w:rPr>
                <w:rFonts w:hint="eastAsia" w:ascii="宋体"/>
                <w:sz w:val="24"/>
                <w:szCs w:val="24"/>
              </w:rPr>
            </w:pP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15A8E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2</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0D86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综合管理岗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5FFCB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CECE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C4DA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6D9C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CA98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4DA87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法学类、工商管理类、公共管理类、新闻传播学类、中国语言文学类</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F9453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7D4A717A">
            <w:pPr>
              <w:keepNext w:val="0"/>
              <w:keepLines w:val="0"/>
              <w:widowControl/>
              <w:suppressLineNumbers w:val="0"/>
              <w:spacing w:before="0" w:beforeAutospacing="0" w:after="0" w:afterAutospacing="0"/>
              <w:ind w:left="0" w:right="0"/>
              <w:jc w:val="left"/>
            </w:pP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320BCFF">
            <w:pPr>
              <w:keepNext w:val="0"/>
              <w:keepLines w:val="0"/>
              <w:widowControl/>
              <w:suppressLineNumbers w:val="0"/>
              <w:spacing w:before="0" w:beforeAutospacing="0" w:after="0" w:afterAutospacing="0"/>
              <w:ind w:left="0" w:right="0"/>
              <w:jc w:val="left"/>
            </w:pPr>
          </w:p>
        </w:tc>
      </w:tr>
      <w:tr w14:paraId="21133C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780" w:hRule="atLeast"/>
          <w:jc w:val="center"/>
        </w:trPr>
        <w:tc>
          <w:tcPr>
            <w:tcW w:w="82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14:paraId="04D1BDEF">
            <w:pPr>
              <w:rPr>
                <w:rFonts w:hint="eastAsia" w:ascii="宋体"/>
                <w:sz w:val="24"/>
                <w:szCs w:val="24"/>
              </w:rPr>
            </w:pP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D2B2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048B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工程现场管理岗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8609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44432E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15C5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F14D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CA8B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C179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土木工程、工程管理、工程造价、建筑学、工业与民用建筑、建筑工程</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68AC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03C7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仿宋" w:hAnsi="仿宋" w:eastAsia="仿宋" w:cs="仿宋"/>
                <w:sz w:val="30"/>
                <w:szCs w:val="30"/>
                <w:bdr w:val="none" w:color="auto" w:sz="0" w:space="0"/>
              </w:rPr>
              <w:t>具有</w:t>
            </w: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年及以上工程管理相关工作经验。</w:t>
            </w: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41CE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eastAsia="仿宋" w:cs="Times New Roman"/>
                <w:sz w:val="30"/>
                <w:szCs w:val="30"/>
                <w:bdr w:val="none" w:color="auto" w:sz="0" w:space="0"/>
              </w:rPr>
              <w:t>1.</w:t>
            </w:r>
            <w:r>
              <w:rPr>
                <w:rFonts w:hint="default" w:ascii="仿宋" w:hAnsi="仿宋" w:eastAsia="仿宋" w:cs="仿宋"/>
                <w:sz w:val="30"/>
                <w:szCs w:val="30"/>
                <w:bdr w:val="none" w:color="auto" w:sz="0" w:space="0"/>
              </w:rPr>
              <w:t>具有与专业要求对应的中级及以上专业技术资格的年龄可放宽至</w:t>
            </w:r>
            <w:r>
              <w:rPr>
                <w:rFonts w:hint="default" w:ascii="Times New Roman" w:hAnsi="Times New Roman" w:eastAsia="仿宋" w:cs="Times New Roman"/>
                <w:sz w:val="30"/>
                <w:szCs w:val="30"/>
                <w:bdr w:val="none" w:color="auto" w:sz="0" w:space="0"/>
              </w:rPr>
              <w:t>35</w:t>
            </w:r>
            <w:r>
              <w:rPr>
                <w:rFonts w:hint="default" w:ascii="仿宋" w:hAnsi="仿宋" w:eastAsia="仿宋" w:cs="仿宋"/>
                <w:sz w:val="30"/>
                <w:szCs w:val="30"/>
                <w:bdr w:val="none" w:color="auto" w:sz="0" w:space="0"/>
              </w:rPr>
              <w:t>周岁及以下。</w:t>
            </w:r>
          </w:p>
          <w:p w14:paraId="6D139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项目一线岗位，需从事户外工作，建议男性报考。</w:t>
            </w:r>
          </w:p>
        </w:tc>
      </w:tr>
      <w:tr w14:paraId="187D9E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1780" w:hRule="atLeast"/>
          <w:jc w:val="center"/>
        </w:trPr>
        <w:tc>
          <w:tcPr>
            <w:tcW w:w="82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14:paraId="4A949991">
            <w:pPr>
              <w:rPr>
                <w:rFonts w:hint="eastAsia" w:ascii="宋体"/>
                <w:sz w:val="24"/>
                <w:szCs w:val="24"/>
              </w:rPr>
            </w:pP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34BB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4</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67FB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前期策划岗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3E98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1B58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5F103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85FB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25CC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5369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建筑学、建筑设计、城市规划、城乡规划、城市设计</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D24A7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508BA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仿宋" w:hAnsi="仿宋" w:eastAsia="仿宋" w:cs="仿宋"/>
                <w:sz w:val="30"/>
                <w:szCs w:val="30"/>
                <w:bdr w:val="none" w:color="auto" w:sz="0" w:space="0"/>
              </w:rPr>
              <w:t>具有</w:t>
            </w: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年及以上设计或者规划工作经验。</w:t>
            </w: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2BA7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eastAsia="仿宋" w:cs="Times New Roman"/>
                <w:sz w:val="30"/>
                <w:szCs w:val="30"/>
                <w:bdr w:val="none" w:color="auto" w:sz="0" w:space="0"/>
              </w:rPr>
              <w:t>1.</w:t>
            </w:r>
            <w:r>
              <w:rPr>
                <w:rFonts w:hint="default" w:ascii="仿宋" w:hAnsi="仿宋" w:eastAsia="仿宋" w:cs="仿宋"/>
                <w:sz w:val="30"/>
                <w:szCs w:val="30"/>
                <w:bdr w:val="none" w:color="auto" w:sz="0" w:space="0"/>
              </w:rPr>
              <w:t>具有与专业要求对应的中级及以上专业技术资格的年龄可放宽至</w:t>
            </w:r>
            <w:r>
              <w:rPr>
                <w:rFonts w:hint="default" w:ascii="Times New Roman" w:hAnsi="Times New Roman" w:eastAsia="仿宋" w:cs="Times New Roman"/>
                <w:sz w:val="30"/>
                <w:szCs w:val="30"/>
                <w:bdr w:val="none" w:color="auto" w:sz="0" w:space="0"/>
              </w:rPr>
              <w:t>35</w:t>
            </w:r>
            <w:r>
              <w:rPr>
                <w:rFonts w:hint="default" w:ascii="仿宋" w:hAnsi="仿宋" w:eastAsia="仿宋" w:cs="仿宋"/>
                <w:sz w:val="30"/>
                <w:szCs w:val="30"/>
                <w:bdr w:val="none" w:color="auto" w:sz="0" w:space="0"/>
              </w:rPr>
              <w:t>周岁及以下。</w:t>
            </w:r>
          </w:p>
          <w:p w14:paraId="402D6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熟练掌握</w:t>
            </w:r>
            <w:r>
              <w:rPr>
                <w:rFonts w:hint="default" w:ascii="Times New Roman" w:hAnsi="Times New Roman" w:eastAsia="仿宋" w:cs="Times New Roman"/>
                <w:sz w:val="30"/>
                <w:szCs w:val="30"/>
                <w:bdr w:val="none" w:color="auto" w:sz="0" w:space="0"/>
              </w:rPr>
              <w:t>AutoCAD </w:t>
            </w:r>
            <w:r>
              <w:rPr>
                <w:rFonts w:hint="default" w:ascii="仿宋" w:hAnsi="仿宋" w:eastAsia="仿宋" w:cs="仿宋"/>
                <w:sz w:val="30"/>
                <w:szCs w:val="30"/>
                <w:bdr w:val="none" w:color="auto" w:sz="0" w:space="0"/>
              </w:rPr>
              <w:t>、</w:t>
            </w:r>
            <w:r>
              <w:rPr>
                <w:rFonts w:hint="default" w:ascii="Times New Roman" w:hAnsi="Times New Roman" w:eastAsia="仿宋" w:cs="Times New Roman"/>
                <w:sz w:val="30"/>
                <w:szCs w:val="30"/>
                <w:bdr w:val="none" w:color="auto" w:sz="0" w:space="0"/>
              </w:rPr>
              <w:t>Photoshop</w:t>
            </w:r>
            <w:r>
              <w:rPr>
                <w:rFonts w:hint="default" w:ascii="仿宋" w:hAnsi="仿宋" w:eastAsia="仿宋" w:cs="仿宋"/>
                <w:sz w:val="30"/>
                <w:szCs w:val="30"/>
                <w:bdr w:val="none" w:color="auto" w:sz="0" w:space="0"/>
              </w:rPr>
              <w:t>等软件，对接相关部门及第三方服务单位，审核工程方案及施工图。</w:t>
            </w:r>
          </w:p>
        </w:tc>
      </w:tr>
      <w:tr w14:paraId="09F16B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820" w:hRule="atLeast"/>
          <w:jc w:val="center"/>
        </w:trPr>
        <w:tc>
          <w:tcPr>
            <w:tcW w:w="82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14:paraId="1CD37CE1">
            <w:pPr>
              <w:rPr>
                <w:rFonts w:hint="eastAsia" w:ascii="宋体"/>
                <w:sz w:val="24"/>
                <w:szCs w:val="24"/>
              </w:rPr>
            </w:pP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E1B5E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5</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4B97D5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风控审计岗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3C427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40509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7D3D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4B850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E4C9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13070B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法学、法律、信用风险管理与法律防控</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64B30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BF126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仿宋" w:hAnsi="仿宋" w:eastAsia="仿宋" w:cs="仿宋"/>
                <w:sz w:val="30"/>
                <w:szCs w:val="30"/>
                <w:bdr w:val="none" w:color="auto" w:sz="0" w:space="0"/>
              </w:rPr>
              <w:t>具有</w:t>
            </w:r>
            <w:r>
              <w:rPr>
                <w:rFonts w:hint="default" w:ascii="Times New Roman" w:hAnsi="Times New Roman" w:eastAsia="仿宋" w:cs="Times New Roman"/>
                <w:sz w:val="30"/>
                <w:szCs w:val="30"/>
                <w:bdr w:val="none" w:color="auto" w:sz="0" w:space="0"/>
              </w:rPr>
              <w:t>2</w:t>
            </w:r>
            <w:r>
              <w:rPr>
                <w:rFonts w:hint="default" w:ascii="仿宋" w:hAnsi="仿宋" w:eastAsia="仿宋" w:cs="仿宋"/>
                <w:sz w:val="30"/>
                <w:szCs w:val="30"/>
                <w:bdr w:val="none" w:color="auto" w:sz="0" w:space="0"/>
              </w:rPr>
              <w:t>年及以上法律相关岗位工作经验。</w:t>
            </w: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79DF9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rFonts w:hint="default" w:ascii="仿宋" w:hAnsi="仿宋" w:eastAsia="仿宋" w:cs="仿宋"/>
                <w:sz w:val="30"/>
                <w:szCs w:val="30"/>
                <w:bdr w:val="none" w:color="auto" w:sz="0" w:space="0"/>
              </w:rPr>
              <w:t>具有三级律师资格证的年龄可放宽至</w:t>
            </w:r>
            <w:r>
              <w:rPr>
                <w:rFonts w:hint="default" w:ascii="Times New Roman" w:hAnsi="Times New Roman" w:eastAsia="仿宋" w:cs="Times New Roman"/>
                <w:sz w:val="30"/>
                <w:szCs w:val="30"/>
                <w:bdr w:val="none" w:color="auto" w:sz="0" w:space="0"/>
              </w:rPr>
              <w:t>35</w:t>
            </w:r>
            <w:r>
              <w:rPr>
                <w:rFonts w:hint="default" w:ascii="仿宋" w:hAnsi="仿宋" w:eastAsia="仿宋" w:cs="仿宋"/>
                <w:sz w:val="30"/>
                <w:szCs w:val="30"/>
                <w:bdr w:val="none" w:color="auto" w:sz="0" w:space="0"/>
              </w:rPr>
              <w:t>周岁及以下。</w:t>
            </w:r>
          </w:p>
        </w:tc>
      </w:tr>
      <w:tr w14:paraId="785DD9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2080" w:hRule="atLeast"/>
          <w:jc w:val="center"/>
        </w:trPr>
        <w:tc>
          <w:tcPr>
            <w:tcW w:w="820" w:type="dxa"/>
            <w:vMerge w:val="continue"/>
            <w:tcBorders>
              <w:top w:val="nil"/>
              <w:left w:val="single" w:color="auto" w:sz="8" w:space="0"/>
              <w:bottom w:val="single" w:color="auto" w:sz="8" w:space="0"/>
              <w:right w:val="single" w:color="auto" w:sz="8" w:space="0"/>
            </w:tcBorders>
            <w:shd w:val="clear"/>
            <w:tcMar>
              <w:left w:w="140" w:type="dxa"/>
              <w:right w:w="140" w:type="dxa"/>
            </w:tcMar>
            <w:vAlign w:val="center"/>
          </w:tcPr>
          <w:p w14:paraId="68030AC7">
            <w:pPr>
              <w:rPr>
                <w:rFonts w:hint="eastAsia" w:ascii="宋体"/>
                <w:sz w:val="24"/>
                <w:szCs w:val="24"/>
              </w:rPr>
            </w:pPr>
          </w:p>
        </w:tc>
        <w:tc>
          <w:tcPr>
            <w:tcW w:w="7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7B27C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6</w:t>
            </w:r>
          </w:p>
        </w:tc>
        <w:tc>
          <w:tcPr>
            <w:tcW w:w="264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CDE5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资产运营岗</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2D35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1</w:t>
            </w:r>
          </w:p>
        </w:tc>
        <w:tc>
          <w:tcPr>
            <w:tcW w:w="10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7BD764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不限</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3425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Times New Roman" w:hAnsi="Times New Roman" w:eastAsia="仿宋" w:cs="Times New Roman"/>
                <w:sz w:val="30"/>
                <w:szCs w:val="30"/>
                <w:bdr w:val="none" w:color="auto" w:sz="0" w:space="0"/>
              </w:rPr>
              <w:t>30</w:t>
            </w:r>
            <w:r>
              <w:rPr>
                <w:rFonts w:hint="default" w:ascii="仿宋" w:hAnsi="仿宋" w:eastAsia="仿宋" w:cs="仿宋"/>
                <w:sz w:val="30"/>
                <w:szCs w:val="30"/>
                <w:bdr w:val="none" w:color="auto" w:sz="0" w:space="0"/>
              </w:rPr>
              <w:t>周岁及以下</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53E5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本科及以上</w:t>
            </w:r>
          </w:p>
        </w:tc>
        <w:tc>
          <w:tcPr>
            <w:tcW w:w="116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29BF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学士及以上</w:t>
            </w:r>
          </w:p>
        </w:tc>
        <w:tc>
          <w:tcPr>
            <w:tcW w:w="32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01545B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资产评估、物业管理、工程管理、工程造价、土地管理及房地产开发、建筑电气与智能化、建筑电气与智能化工程</w:t>
            </w:r>
          </w:p>
        </w:tc>
        <w:tc>
          <w:tcPr>
            <w:tcW w:w="92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22806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default" w:ascii="仿宋" w:hAnsi="仿宋" w:eastAsia="仿宋" w:cs="仿宋"/>
                <w:sz w:val="30"/>
                <w:szCs w:val="30"/>
                <w:bdr w:val="none" w:color="auto" w:sz="0" w:space="0"/>
              </w:rPr>
              <w:t>台州</w:t>
            </w:r>
          </w:p>
        </w:tc>
        <w:tc>
          <w:tcPr>
            <w:tcW w:w="228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51A45C6D">
            <w:pPr>
              <w:keepNext w:val="0"/>
              <w:keepLines w:val="0"/>
              <w:widowControl/>
              <w:suppressLineNumbers w:val="0"/>
              <w:spacing w:before="0" w:beforeAutospacing="0" w:after="0" w:afterAutospacing="0"/>
              <w:ind w:left="0" w:right="0"/>
              <w:jc w:val="left"/>
            </w:pPr>
          </w:p>
        </w:tc>
        <w:tc>
          <w:tcPr>
            <w:tcW w:w="4800" w:type="dxa"/>
            <w:tcBorders>
              <w:top w:val="nil"/>
              <w:left w:val="single" w:color="auto" w:sz="8" w:space="0"/>
              <w:bottom w:val="single" w:color="auto" w:sz="8" w:space="0"/>
              <w:right w:val="single" w:color="auto" w:sz="8" w:space="0"/>
            </w:tcBorders>
            <w:shd w:val="clear"/>
            <w:tcMar>
              <w:left w:w="140" w:type="dxa"/>
              <w:right w:w="140" w:type="dxa"/>
            </w:tcMar>
            <w:vAlign w:val="center"/>
          </w:tcPr>
          <w:p w14:paraId="3FF26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default" w:ascii="仿宋" w:hAnsi="仿宋" w:eastAsia="仿宋" w:cs="仿宋"/>
                <w:sz w:val="30"/>
                <w:szCs w:val="30"/>
                <w:bdr w:val="none" w:color="auto" w:sz="0" w:space="0"/>
              </w:rPr>
              <w:t>从事资产、档案及合同管理工作。</w:t>
            </w:r>
          </w:p>
        </w:tc>
      </w:tr>
    </w:tbl>
    <w:p w14:paraId="4A685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1460" w:right="0" w:firstLine="0"/>
        <w:jc w:val="left"/>
        <w:textAlignment w:val="center"/>
        <w:rPr>
          <w:rFonts w:hint="default" w:ascii="微软雅黑" w:hAnsi="微软雅黑" w:eastAsia="微软雅黑" w:cs="微软雅黑"/>
          <w:b w:val="0"/>
          <w:bCs w:val="0"/>
          <w:i w:val="0"/>
          <w:iCs w:val="0"/>
          <w:caps w:val="0"/>
          <w:color w:val="333333"/>
          <w:spacing w:val="0"/>
          <w:sz w:val="28"/>
          <w:szCs w:val="28"/>
          <w:u w:val="none"/>
        </w:rPr>
      </w:pPr>
      <w:r>
        <w:rPr>
          <w:rFonts w:hint="default" w:ascii="黑体" w:hAnsi="宋体" w:eastAsia="黑体" w:cs="黑体"/>
          <w:b w:val="0"/>
          <w:bCs w:val="0"/>
          <w:i w:val="0"/>
          <w:iCs w:val="0"/>
          <w:caps w:val="0"/>
          <w:color w:val="333333"/>
          <w:spacing w:val="0"/>
          <w:sz w:val="30"/>
          <w:szCs w:val="30"/>
          <w:u w:val="none"/>
          <w:bdr w:val="none" w:color="auto" w:sz="0" w:space="0"/>
        </w:rPr>
        <w:t> </w:t>
      </w:r>
    </w:p>
    <w:p w14:paraId="3D7F1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1380" w:right="0" w:firstLine="0"/>
        <w:jc w:val="left"/>
        <w:textAlignment w:val="center"/>
        <w:rPr>
          <w:rFonts w:hint="default" w:ascii="微软雅黑" w:hAnsi="微软雅黑" w:eastAsia="微软雅黑" w:cs="微软雅黑"/>
          <w:b w:val="0"/>
          <w:bCs w:val="0"/>
          <w:i w:val="0"/>
          <w:iCs w:val="0"/>
          <w:caps w:val="0"/>
          <w:color w:val="333333"/>
          <w:spacing w:val="0"/>
          <w:sz w:val="28"/>
          <w:szCs w:val="28"/>
          <w:u w:val="none"/>
        </w:rPr>
      </w:pPr>
      <w:r>
        <w:rPr>
          <w:rFonts w:hint="default" w:ascii="黑体" w:hAnsi="宋体" w:eastAsia="黑体" w:cs="黑体"/>
          <w:b w:val="0"/>
          <w:bCs w:val="0"/>
          <w:i w:val="0"/>
          <w:iCs w:val="0"/>
          <w:caps w:val="0"/>
          <w:color w:val="333333"/>
          <w:spacing w:val="0"/>
          <w:sz w:val="26"/>
          <w:szCs w:val="26"/>
          <w:u w:val="none"/>
          <w:bdr w:val="none" w:color="auto" w:sz="0" w:space="0"/>
        </w:rPr>
        <w:t>注：1.与招聘单位负责人有夫妻关系、直系血亲关系、三代以内旁系血亲关系或者近姻亲关系的应聘人员，不得应聘该单位的财务职位,也不得应聘与该单位负责人有直接上下级领导关系的职位。</w:t>
      </w:r>
    </w:p>
    <w:p w14:paraId="49678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1060"/>
        <w:jc w:val="left"/>
        <w:textAlignment w:val="center"/>
        <w:rPr>
          <w:rFonts w:hint="default" w:ascii="微软雅黑" w:hAnsi="微软雅黑" w:eastAsia="微软雅黑" w:cs="微软雅黑"/>
          <w:b w:val="0"/>
          <w:bCs w:val="0"/>
          <w:i w:val="0"/>
          <w:iCs w:val="0"/>
          <w:caps w:val="0"/>
          <w:color w:val="333333"/>
          <w:spacing w:val="0"/>
          <w:sz w:val="28"/>
          <w:szCs w:val="28"/>
          <w:u w:val="none"/>
        </w:rPr>
      </w:pPr>
      <w:r>
        <w:rPr>
          <w:rFonts w:hint="default" w:ascii="黑体" w:hAnsi="宋体" w:eastAsia="黑体" w:cs="黑体"/>
          <w:b w:val="0"/>
          <w:bCs w:val="0"/>
          <w:i w:val="0"/>
          <w:iCs w:val="0"/>
          <w:caps w:val="0"/>
          <w:color w:val="333333"/>
          <w:spacing w:val="0"/>
          <w:sz w:val="26"/>
          <w:szCs w:val="26"/>
          <w:u w:val="none"/>
          <w:bdr w:val="none" w:color="auto" w:sz="0" w:space="0"/>
        </w:rPr>
        <w:t>2.曾因犯罪受过刑事处罚的人员、曾被开除公职的人员，不得报考。</w:t>
      </w:r>
    </w:p>
    <w:p w14:paraId="202518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firstLine="1060"/>
        <w:jc w:val="left"/>
        <w:textAlignment w:val="center"/>
        <w:rPr>
          <w:rFonts w:hint="default" w:ascii="微软雅黑" w:hAnsi="微软雅黑" w:eastAsia="微软雅黑" w:cs="微软雅黑"/>
          <w:b w:val="0"/>
          <w:bCs w:val="0"/>
          <w:i w:val="0"/>
          <w:iCs w:val="0"/>
          <w:caps w:val="0"/>
          <w:color w:val="333333"/>
          <w:spacing w:val="0"/>
          <w:sz w:val="28"/>
          <w:szCs w:val="28"/>
          <w:u w:val="none"/>
        </w:rPr>
      </w:pPr>
      <w:r>
        <w:rPr>
          <w:rFonts w:hint="default" w:ascii="黑体" w:hAnsi="宋体" w:eastAsia="黑体" w:cs="黑体"/>
          <w:b w:val="0"/>
          <w:bCs w:val="0"/>
          <w:i w:val="0"/>
          <w:iCs w:val="0"/>
          <w:caps w:val="0"/>
          <w:color w:val="333333"/>
          <w:spacing w:val="0"/>
          <w:sz w:val="26"/>
          <w:szCs w:val="26"/>
          <w:u w:val="none"/>
          <w:bdr w:val="none" w:color="auto" w:sz="0" w:space="0"/>
        </w:rPr>
        <w:t>3.专业名称参照教育部相关专业目录设定。报考人员提供的学历证书所载明的专业名称应与之相同或相符，是否相符由招聘单位研究后决定。部分专业涉及名称更改的，新旧专业可认定为同一专业。取得多个学历证书的报考人员只能使用其中的一个学历证书进行报考。全日制普通高校毕业生以第二专业（辅修专业）报名的，其第二专业（辅修专业）须取得教育部学历认证。各高校自定义的第二专业（辅修专业）未取得教育部学历认证的不能作为所学专业填报。</w:t>
      </w:r>
    </w:p>
    <w:p w14:paraId="0A22D2C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ongti TC">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方正小标宋简体">
    <w:altName w:val="汉仪书宋二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FA54A0"/>
    <w:rsid w:val="9FFF3E7D"/>
    <w:rsid w:val="EBFA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Songti TC" w:asciiTheme="minorAscii" w:hAnsiTheme="minorAscii"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2024-11-19T13:51:00Z</dcterms:created>
  <dc:creator>你真是不可爱</dc:creator>
  <cp:lastModifiedBy>你真是不可爱</cp:lastModifiedBy>
  <dcterms:modified xsi:type="dcterms:W3CDTF">2024-11-19T13:51:13Z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6BDA00B24D55563C48273C6702D53A25_41</vt:lpwstr>
  </property>
</Properties>
</file>