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sz w:val="43"/>
          <w:szCs w:val="43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陈家坝</w:t>
      </w:r>
      <w:r>
        <w:rPr>
          <w:rFonts w:ascii="方正小标宋_GBK" w:hAnsi="方正小标宋_GBK" w:eastAsia="方正小标宋_GBK" w:cs="方正小标宋_GBK"/>
          <w:sz w:val="43"/>
          <w:szCs w:val="43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方正小标宋_GBK" w:cs="Times New Roman"/>
          <w:sz w:val="43"/>
          <w:szCs w:val="43"/>
        </w:rPr>
        <w:t>2024年</w:t>
      </w:r>
      <w:r>
        <w:rPr>
          <w:rFonts w:hint="default" w:ascii="Times New Roman" w:hAnsi="Times New Roman" w:eastAsia="方正小标宋_GBK" w:cs="Times New Roman"/>
          <w:sz w:val="43"/>
          <w:szCs w:val="43"/>
          <w:lang w:val="en-US" w:eastAsia="zh-CN"/>
        </w:rPr>
        <w:t>11月</w:t>
      </w:r>
      <w:r>
        <w:rPr>
          <w:rFonts w:hint="default" w:ascii="Times New Roman" w:hAnsi="Times New Roman" w:eastAsia="方正小标宋_GBK" w:cs="Times New Roman"/>
          <w:sz w:val="43"/>
          <w:szCs w:val="43"/>
        </w:rPr>
        <w:t>公益性岗位招聘</w:t>
      </w:r>
      <w:r>
        <w:rPr>
          <w:rFonts w:hint="default" w:ascii="Times New Roman" w:hAnsi="Times New Roman" w:eastAsia="方正小标宋_GBK" w:cs="Times New Roman"/>
          <w:sz w:val="43"/>
          <w:szCs w:val="43"/>
          <w:lang w:eastAsia="zh-CN"/>
        </w:rPr>
        <w:t>公告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方正楷体_GBK" w:cs="Times New Roman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根据《重庆市公益性岗位开发和管理办法》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渝人社发〔2016〕239号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、重庆市就业服务管理局《关于印发〈公益性岗位开发管理经办规程（试行）〉的通知》（渝就发〔2023〕22号）和《重庆市万州区公益性岗位开发和管理的实施细则》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万州人社发〔2023〕44号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街道办事处实际工作需求，现特面向社会公开招聘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全日制公益性岗位人员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二、招聘岗位、人数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本次公益性岗位招聘总人数为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人，岗位性质：非全日制。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三、招聘对象及条件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（一）招聘对象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南山社区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内有劳动能力、就业需求的“4050”人员（登记失业三个月及以上）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脱贫人口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）以下人员不纳入招聘范围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已通过其他途径实现就业创业人员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办理了工商营业执照人员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有单位缴纳社会保险人员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已享受养老保险待遇人员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向外投资入股20万以上  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失信被执行人员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无劳动能力、丧失劳动能力、因残疾或患重病不能胜任岗位工作要求的人员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其他不符合安置条件的人员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四、报名及资格审查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本次招聘采用现场报名和资格审查相结合的方式进行。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报名时间： 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-11月15日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（上午9:00-11:00，下午14:00-17:00）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便民服务中心（万州区文峰路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报名材料：非全日制公益性岗位需提供身份证原件及复印件；相关身份证明材料。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五、招聘方式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本次招聘主要采取综合考察的方式进行，择优录取。由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六、考察结果和公示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根据现场报名审核结果和综合考察情况确定拟录用人员，考察合格后的拟聘人员在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重庆市万州区人民政府网公告公示栏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向社会公示5个工作日。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七、聘用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经公示无异议，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街道办事处按照相关规定与聘用人员签订劳务协议，期限为1年。期限届满，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街道办事处根据工作需要、本人意向等，经协商一致可按规定续签，服务期限最长不超过3年。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八、在岗待遇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非全日制公益性岗位待遇以补贴方式发放，每月补贴金额为1155元。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本招聘公告最终解释权归重庆市万州区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77" w:leftChars="294" w:right="0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全日制公益性岗位计划招聘一览表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陈家坝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                 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陈家坝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街道2024年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val="en-US" w:eastAsia="zh-CN"/>
        </w:rPr>
        <w:t>11月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  <w:lang w:eastAsia="zh-CN"/>
        </w:rPr>
        <w:t>非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30"/>
          <w:sz w:val="44"/>
          <w:szCs w:val="44"/>
          <w:shd w:val="clear" w:fill="FFFFFF"/>
        </w:rPr>
        <w:t>全日制公益性岗位计划招聘一览表</w:t>
      </w:r>
    </w:p>
    <w:tbl>
      <w:tblPr>
        <w:tblStyle w:val="3"/>
        <w:tblpPr w:leftFromText="180" w:rightFromText="180" w:vertAnchor="text" w:horzAnchor="page" w:tblpX="2054" w:tblpY="596"/>
        <w:tblOverlap w:val="never"/>
        <w:tblW w:w="763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892"/>
        <w:gridCol w:w="836"/>
        <w:gridCol w:w="1004"/>
        <w:gridCol w:w="1800"/>
        <w:gridCol w:w="1362"/>
        <w:gridCol w:w="12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名称</w:t>
            </w:r>
          </w:p>
        </w:tc>
        <w:tc>
          <w:tcPr>
            <w:tcW w:w="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数量</w:t>
            </w:r>
          </w:p>
        </w:tc>
        <w:tc>
          <w:tcPr>
            <w:tcW w:w="10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用工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性质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工作要求</w:t>
            </w:r>
          </w:p>
        </w:tc>
        <w:tc>
          <w:tcPr>
            <w:tcW w:w="13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薪资待遇</w:t>
            </w:r>
          </w:p>
        </w:tc>
        <w:tc>
          <w:tcPr>
            <w:tcW w:w="12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方正黑体_GBK" w:cs="Times New Roman"/>
                <w:color w:val="333333"/>
                <w:spacing w:val="0"/>
                <w:sz w:val="24"/>
                <w:szCs w:val="24"/>
                <w:shd w:val="clear" w:fill="FFFFFF"/>
              </w:rPr>
              <w:t>工作地点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交通劝导员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非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全日制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30"/>
                <w:sz w:val="28"/>
                <w:szCs w:val="28"/>
                <w:highlight w:val="none"/>
                <w:shd w:val="clear" w:fill="FFFFFF"/>
              </w:rPr>
              <w:t>完成指定区域道路交通劝导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1155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元/月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陈家坝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</w:rPr>
              <w:t>街道办事处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南山社区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Q4YzUyY2U0N2NlMTlkZDZkNzRjZmVhMDI4NmQifQ=="/>
  </w:docVars>
  <w:rsids>
    <w:rsidRoot w:val="31C52FCE"/>
    <w:rsid w:val="01F956EB"/>
    <w:rsid w:val="070268E6"/>
    <w:rsid w:val="0ACB31DC"/>
    <w:rsid w:val="0B7F42FD"/>
    <w:rsid w:val="0FE935E8"/>
    <w:rsid w:val="11673B1F"/>
    <w:rsid w:val="149460B9"/>
    <w:rsid w:val="18D339DF"/>
    <w:rsid w:val="19234148"/>
    <w:rsid w:val="1A9E2655"/>
    <w:rsid w:val="1D1E3640"/>
    <w:rsid w:val="1D266050"/>
    <w:rsid w:val="1EEC32CA"/>
    <w:rsid w:val="1FF13588"/>
    <w:rsid w:val="21413198"/>
    <w:rsid w:val="22AF1848"/>
    <w:rsid w:val="238F1B90"/>
    <w:rsid w:val="24105AFD"/>
    <w:rsid w:val="24303B52"/>
    <w:rsid w:val="24E8008F"/>
    <w:rsid w:val="25137FDA"/>
    <w:rsid w:val="2866348C"/>
    <w:rsid w:val="2D041B9E"/>
    <w:rsid w:val="2E0568C7"/>
    <w:rsid w:val="30222EA2"/>
    <w:rsid w:val="319A0622"/>
    <w:rsid w:val="31C52FCE"/>
    <w:rsid w:val="32A3598C"/>
    <w:rsid w:val="36105698"/>
    <w:rsid w:val="36A62065"/>
    <w:rsid w:val="37030298"/>
    <w:rsid w:val="39912D3E"/>
    <w:rsid w:val="39D95F49"/>
    <w:rsid w:val="3A484C0F"/>
    <w:rsid w:val="3DA037A5"/>
    <w:rsid w:val="405F6DCD"/>
    <w:rsid w:val="40B5493D"/>
    <w:rsid w:val="41FD2D89"/>
    <w:rsid w:val="42094392"/>
    <w:rsid w:val="43405DEE"/>
    <w:rsid w:val="43AF05DD"/>
    <w:rsid w:val="446F7A2D"/>
    <w:rsid w:val="4541177A"/>
    <w:rsid w:val="470339C7"/>
    <w:rsid w:val="47CA0807"/>
    <w:rsid w:val="48EB621C"/>
    <w:rsid w:val="4DA644C0"/>
    <w:rsid w:val="4F231B40"/>
    <w:rsid w:val="512F39F4"/>
    <w:rsid w:val="51656440"/>
    <w:rsid w:val="53511372"/>
    <w:rsid w:val="53E14A15"/>
    <w:rsid w:val="5D7C3E66"/>
    <w:rsid w:val="5D901BA2"/>
    <w:rsid w:val="5F9E149B"/>
    <w:rsid w:val="636D5D54"/>
    <w:rsid w:val="657E050B"/>
    <w:rsid w:val="66AA2BD8"/>
    <w:rsid w:val="69CA10DE"/>
    <w:rsid w:val="6A641533"/>
    <w:rsid w:val="6AB67FDF"/>
    <w:rsid w:val="6BBF4CB6"/>
    <w:rsid w:val="6C1468BE"/>
    <w:rsid w:val="7090341F"/>
    <w:rsid w:val="78946B43"/>
    <w:rsid w:val="7B1D5512"/>
    <w:rsid w:val="7B2D1856"/>
    <w:rsid w:val="7D3719F8"/>
    <w:rsid w:val="7D76121B"/>
    <w:rsid w:val="7E0B3DE4"/>
    <w:rsid w:val="7E99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1115</Words>
  <Characters>1204</Characters>
  <Lines>0</Lines>
  <Paragraphs>0</Paragraphs>
  <TotalTime>4</TotalTime>
  <ScaleCrop>false</ScaleCrop>
  <LinksUpToDate>false</LinksUpToDate>
  <CharactersWithSpaces>1207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2024-02-25T01:10:00Z</dcterms:created>
  <dc:creator>Administrator</dc:creator>
  <cp:lastModifiedBy>湖海居士</cp:lastModifiedBy>
  <cp:lastPrinted>2024-11-05T03:40:00Z</cp:lastPrinted>
  <dcterms:modified xsi:type="dcterms:W3CDTF">2024-11-07T06:52:24Z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E780C78313F543C8B6A8B1AAD68F89F2_11</vt:lpwstr>
  </property>
</Properties>
</file>