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560" w:lineRule="exact"/>
        <w:jc w:val="both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2</w:t>
      </w:r>
    </w:p>
    <w:p>
      <w:pPr>
        <w:overflowPunct w:val="0"/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2024年度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eastAsia="zh-CN"/>
        </w:rPr>
        <w:t>江西省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公安机关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eastAsia="zh-CN"/>
        </w:rPr>
        <w:t>考试录用</w:t>
      </w:r>
    </w:p>
    <w:p>
      <w:pPr>
        <w:overflowPunct w:val="0"/>
        <w:autoSpaceDE w:val="0"/>
        <w:autoSpaceDN w:val="0"/>
        <w:adjustRightInd w:val="0"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eastAsia="zh-CN"/>
        </w:rPr>
        <w:t>特战职位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eastAsia="zh-CN"/>
        </w:rPr>
        <w:t>人民警察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工作实施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eastAsia="zh-CN"/>
        </w:rPr>
        <w:t>细则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80" w:lineRule="exact"/>
        <w:ind w:firstLine="72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Style w:val="11"/>
          <w:rFonts w:ascii="Times New Roman" w:hAnsi="Times New Roman" w:eastAsia="黑体"/>
          <w:b w:val="0"/>
          <w:bCs/>
          <w:color w:val="auto"/>
          <w:sz w:val="32"/>
          <w:szCs w:val="32"/>
        </w:rPr>
      </w:pPr>
      <w:r>
        <w:rPr>
          <w:rStyle w:val="11"/>
          <w:rFonts w:hint="eastAsia" w:ascii="Times New Roman" w:hAnsi="Times New Roman" w:eastAsia="黑体"/>
          <w:b w:val="0"/>
          <w:bCs/>
          <w:color w:val="auto"/>
          <w:sz w:val="32"/>
          <w:szCs w:val="32"/>
        </w:rPr>
        <w:t>一、报考条件</w:t>
      </w:r>
    </w:p>
    <w:p>
      <w:pPr>
        <w:pStyle w:val="8"/>
        <w:tabs>
          <w:tab w:val="left" w:pos="210"/>
        </w:tabs>
        <w:overflowPunct w:val="0"/>
        <w:autoSpaceDE w:val="0"/>
        <w:autoSpaceDN w:val="0"/>
        <w:adjustRightInd w:val="0"/>
        <w:spacing w:beforeAutospacing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特战职位中突击职位年龄条件为18周岁以上、25周岁以下（1998年10月14日至2006年10月13日期间出生）；狙击、搜排爆职位年龄条件为18周岁以上、30周岁以下（1993年10月14日至2006年10月13日期间出生）。</w:t>
      </w:r>
    </w:p>
    <w:p>
      <w:pPr>
        <w:pStyle w:val="8"/>
        <w:tabs>
          <w:tab w:val="left" w:pos="210"/>
        </w:tabs>
        <w:overflowPunct w:val="0"/>
        <w:autoSpaceDE w:val="0"/>
        <w:autoSpaceDN w:val="0"/>
        <w:adjustRightInd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报考人员须符合《2024年度江西省公安机关人民警察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特殊职位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公告》规定的相关条件，同时还应符合以下条件之一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：</w:t>
      </w:r>
    </w:p>
    <w:p>
      <w:pPr>
        <w:pStyle w:val="8"/>
        <w:numPr>
          <w:ilvl w:val="0"/>
          <w:numId w:val="1"/>
        </w:numPr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突击职位</w:t>
      </w:r>
      <w:bookmarkStart w:id="0" w:name="_GoBack"/>
      <w:bookmarkEnd w:id="0"/>
    </w:p>
    <w:p>
      <w:pPr>
        <w:pStyle w:val="8"/>
        <w:numPr>
          <w:ilvl w:val="0"/>
          <w:numId w:val="0"/>
        </w:numPr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曾在中国人民解放军特战部队或武警反恐部门特战岗位服役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年及以上的退役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；</w:t>
      </w:r>
    </w:p>
    <w:p>
      <w:pPr>
        <w:pStyle w:val="8"/>
        <w:numPr>
          <w:ilvl w:val="0"/>
          <w:numId w:val="0"/>
        </w:numPr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普通高校毕业生退役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人员且曾在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特战岗位从事实战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参加军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含武警总队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以上单位组织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突击类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专业比赛（比武），并获得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表彰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2019年以来在国家级（全运会、锦标赛、冠军赛）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及以上田径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获得奖励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的人员。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（二）狙击职位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曾在中国人民解放军特战部队或武警反恐部门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狙击岗位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服役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年及以上的退役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；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持有军（含武警总队）以上单位颁发的中级及以上狙击专业技能鉴定证书（或同等资格证）；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参加军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含武警总队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以上单位组织狙击专业比赛（比武），并获得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表彰的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人员；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2019年以来在国家级（全运会、锦标赛、冠军赛）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射击赛事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获得奖励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的人员。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（三）搜排爆职位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曾在中国人民解放军或武警部队搜排爆、爆破专业岗位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服役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年以上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的退役人员；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持有军（含武警总队）以上单位颁发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中级及以上搜排爆、爆破专业技能鉴定证书（或同等资格证），或具有解放军或武警部队院校相关专业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毕业（结业）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证书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的退役人员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；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参加军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含武警总队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以上单位组织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搜排爆、爆破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专业比赛（比武），并获得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表彰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的人员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；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.普通高校弹药工程与爆炸技术专业、特种能源技术与工程专业毕业生。</w:t>
      </w:r>
    </w:p>
    <w:p>
      <w:pPr>
        <w:pStyle w:val="8"/>
        <w:tabs>
          <w:tab w:val="left" w:pos="3163"/>
        </w:tabs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Style w:val="11"/>
          <w:rFonts w:ascii="Times New Roman" w:hAnsi="Times New Roman" w:eastAsia="黑体"/>
          <w:b w:val="0"/>
          <w:bCs/>
          <w:color w:val="auto"/>
          <w:sz w:val="32"/>
          <w:szCs w:val="32"/>
        </w:rPr>
      </w:pPr>
      <w:r>
        <w:rPr>
          <w:rStyle w:val="11"/>
          <w:rFonts w:hint="eastAsia" w:ascii="Times New Roman" w:hAnsi="Times New Roman" w:eastAsia="黑体"/>
          <w:b w:val="0"/>
          <w:bCs/>
          <w:color w:val="auto"/>
          <w:sz w:val="32"/>
          <w:szCs w:val="32"/>
        </w:rPr>
        <w:t>二、考录程序和方法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80"/>
        <w:jc w:val="both"/>
        <w:rPr>
          <w:rFonts w:hint="eastAsia" w:ascii="Times New Roman" w:hAnsi="Times New Roman" w:eastAsia="楷体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/>
          <w:color w:val="auto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楷体_GB2312"/>
          <w:color w:val="auto"/>
          <w:sz w:val="32"/>
          <w:szCs w:val="32"/>
        </w:rPr>
        <w:t>）资格</w:t>
      </w:r>
      <w:r>
        <w:rPr>
          <w:rFonts w:hint="eastAsia" w:ascii="Times New Roman" w:hAnsi="Times New Roman" w:eastAsia="楷体_GB2312"/>
          <w:color w:val="auto"/>
          <w:sz w:val="32"/>
          <w:szCs w:val="32"/>
          <w:lang w:eastAsia="zh-CN"/>
        </w:rPr>
        <w:t>预审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8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报考人员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应提供本人身份证、毕业证书、学位证书等以及报考职位所需的其他证件（证明）原件及复印件。国内院校毕业须提供中国高等教育学生信息网出具的《教育部学籍在线验证报告》。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</w:rPr>
        <w:t>部队退役人员还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应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</w:rPr>
        <w:t>提供退役证明原件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</w:rPr>
        <w:t>复印件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部队团级以上机关政治部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门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对本人服役岗位和工作经历的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书面证明材料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突击和狙击职位资格预审时间为：2024年10月27日。具体时间、地点详见准考证。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未按规定时间、地点参加资格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预审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或资格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预审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不合格的，不得参加后续环节。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80"/>
        <w:jc w:val="both"/>
        <w:rPr>
          <w:rStyle w:val="11"/>
          <w:rFonts w:ascii="Times New Roman" w:hAnsi="Times New Roman" w:eastAsia="楷体_GB2312"/>
          <w:b w:val="0"/>
          <w:color w:val="auto"/>
          <w:sz w:val="32"/>
          <w:szCs w:val="32"/>
          <w:shd w:val="clear" w:color="auto" w:fill="FFFFFF"/>
        </w:rPr>
      </w:pPr>
      <w:r>
        <w:rPr>
          <w:rStyle w:val="11"/>
          <w:rFonts w:hint="eastAsia" w:ascii="Times New Roman" w:hAnsi="Times New Roman" w:eastAsia="楷体_GB2312"/>
          <w:b w:val="0"/>
          <w:color w:val="auto"/>
          <w:sz w:val="32"/>
          <w:szCs w:val="32"/>
          <w:shd w:val="clear" w:color="auto" w:fill="FFFFFF"/>
        </w:rPr>
        <w:t>（</w:t>
      </w:r>
      <w:r>
        <w:rPr>
          <w:rStyle w:val="11"/>
          <w:rFonts w:hint="eastAsia" w:ascii="Times New Roman" w:hAnsi="Times New Roman" w:eastAsia="楷体_GB2312"/>
          <w:b w:val="0"/>
          <w:color w:val="auto"/>
          <w:sz w:val="32"/>
          <w:szCs w:val="32"/>
          <w:shd w:val="clear" w:color="auto" w:fill="FFFFFF"/>
          <w:lang w:eastAsia="zh-CN"/>
        </w:rPr>
        <w:t>二</w:t>
      </w:r>
      <w:r>
        <w:rPr>
          <w:rStyle w:val="11"/>
          <w:rFonts w:hint="eastAsia" w:ascii="Times New Roman" w:hAnsi="Times New Roman" w:eastAsia="楷体_GB2312"/>
          <w:b w:val="0"/>
          <w:color w:val="auto"/>
          <w:sz w:val="32"/>
          <w:szCs w:val="32"/>
          <w:shd w:val="clear" w:color="auto" w:fill="FFFFFF"/>
        </w:rPr>
        <w:t>）专业</w:t>
      </w:r>
      <w:r>
        <w:rPr>
          <w:rStyle w:val="11"/>
          <w:rFonts w:hint="eastAsia" w:ascii="Times New Roman" w:hAnsi="Times New Roman" w:eastAsia="楷体_GB2312"/>
          <w:b w:val="0"/>
          <w:color w:val="auto"/>
          <w:sz w:val="32"/>
          <w:szCs w:val="32"/>
          <w:shd w:val="clear" w:color="auto" w:fill="FFFFFF"/>
          <w:lang w:eastAsia="zh-CN"/>
        </w:rPr>
        <w:t>技能</w:t>
      </w:r>
      <w:r>
        <w:rPr>
          <w:rStyle w:val="11"/>
          <w:rFonts w:hint="eastAsia" w:ascii="Times New Roman" w:hAnsi="Times New Roman" w:eastAsia="楷体_GB2312"/>
          <w:b w:val="0"/>
          <w:color w:val="auto"/>
          <w:sz w:val="32"/>
          <w:szCs w:val="32"/>
          <w:shd w:val="clear" w:color="auto" w:fill="FFFFFF"/>
        </w:rPr>
        <w:t>测试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80"/>
        <w:jc w:val="both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1.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测试科目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80"/>
        <w:jc w:val="both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特战职位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进行特战实战技能测试，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按照突击、狙击、搜排爆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个职位分别组织开展，其中突击职位测试科目为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3000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米徒手跑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特警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330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米障碍跑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手枪射击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；狙击职位测试科目为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3000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米徒手跑和射击；搜排爆职位测试科目为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3000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米徒手跑和现场操作。评分标准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附后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特战职位专业技能测试时间：2024年10月27日 8:00-16:30。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地点详见准考证。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80"/>
        <w:jc w:val="both"/>
        <w:rPr>
          <w:rFonts w:hint="eastAsia" w:ascii="Times New Roman" w:hAnsi="Times New Roman" w:eastAsia="楷体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_GB2312"/>
          <w:bCs/>
          <w:color w:val="auto"/>
          <w:sz w:val="32"/>
          <w:szCs w:val="32"/>
        </w:rPr>
        <w:t>笔试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8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公共科目笔试为《行政职业能力测验》，满分为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100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分，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合格分数线由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省公务员主管部门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统一发布。公共科目笔试时间由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省公务员主管部门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统一安排，考点设置在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南昌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市，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时间、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地点详见准考证。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楷体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shd w:val="clear" w:color="auto" w:fill="FFFFFF"/>
        </w:rPr>
        <w:t>（四）合成成绩计算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特战职位合成成绩为：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《行政职业能力测验》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成绩×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特战职位实战技能成绩×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0%。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上述成绩及合格分数线由省公务员主管部门统一发布。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</w:rPr>
        <w:t>除上述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资格条件和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</w:rPr>
        <w:t>程序以外，特战职位制定计划、报名和体能测评、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资格审查、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</w:rPr>
        <w:t>面试、体检、职位选择、考察、公示录用等环节与《2024年度江西省公安机关人民警察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特殊职位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</w:rPr>
        <w:t>招录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考试</w:t>
      </w:r>
      <w:r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</w:rPr>
        <w:t>公告》一致。</w:t>
      </w:r>
    </w:p>
    <w:p>
      <w:pPr>
        <w:pStyle w:val="8"/>
        <w:overflowPunct w:val="0"/>
        <w:autoSpaceDE w:val="0"/>
        <w:autoSpaceDN w:val="0"/>
        <w:adjustRightInd w:val="0"/>
        <w:spacing w:beforeAutospacing="0" w:afterAutospacing="0" w:line="56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3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3"/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2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特战职位专业科目测试操作流程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及评分标准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突击职位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总分值200分=3000米100分值+330米障碍50分值+手枪射击50分值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3000米徒手跑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测试方法:考生分组测，每组不得少于2人，佩戴计时手环或手表，用站立式起跑，两脚不超过起跑线。当听到口令或枪声后开始起跑，同时设备自动计时，完成3000米后电脑自动记录每人成绩。考生不得穿钉鞋。计时裁判手动计时备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（二）特警330米障碍跑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场地：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0米特警综合体技能障碍场。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实施程序：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1．开始前3分钟，裁判长下达“准备3分钟”口令后，裁判员对各项器材做最后检查确认。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2．开始前1分钟，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受测者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佩戴好护具在起点处准备。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3．比赛开始。起点裁判长下达“准备好了吗”的口令后，若3秒内没有相反的回答，裁判长下达“开始”口令，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受测者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开始独立完成本科目规定的动作。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科目流程：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全程要通过8次障碍物，顺序是： 110米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徒手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跑→绕过标志杆转弯→通过10米低桩网→翻越2.4米高板→通过空中软网→通过高架速降→通过斜绳摆渡→翻越爱尔兰高板→跨越高低栏→通过拱形肋木→绕过标志杆转弯返回→110米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徒手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跑至终点。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测试方法：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测试过程中，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受测者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必须严格按照要求逐一通过各个障碍，未按要求通过的视为无效，该障碍需重新通过后，方可进入下一环节。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1．起跑时成立姿，两脚不超过起跑线，听到口令后再起跑。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徒手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跑110米到转折点，绕过标志杆，手不得抓或碰倒标志杆，手抓或碰倒标志杆本项目计时加5秒。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3．通过10米低桩网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：受测者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必须从低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网内侧通过。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4．翻越2.4米高板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：受测者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必须从高墙上沿正上方翻越通过。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5．通过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空中软网：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受测者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必须爬至软网顶部，经网体全程通过，利用轮胎墙下至地面，严禁从软网上端直接跳下。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违规处罚：利用软网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两侧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连接铁板通过的或未利用轮胎墙从软网上端直接跳下（脚必须至少踩到一个轮胎）的，视为无效，该障碍重新通过。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6．通过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高架速降：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受测者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经斜梯爬上障碍物顶端，越过横杠后双手抱住钢管下至地面。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违规处罚：越过横杠后直接跳下或从半空中跳下的（必须手脚协同下滑，脚着地后手方可离开下滑杆），视为无效，该障碍重新通过。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7．通过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斜绳摆渡：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受测者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双手抓住大绳摆渡通过障碍，通过时，脚不可触地。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5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违规处罚：通过斜绳摆渡时，脚触地的，视为无效，该障碍重新通过。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8．翻越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爱尔兰高板：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受测者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从高板（2米）上沿翻过。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违规处罚：翻越爱尔兰高板时，借助或触碰爱尔兰高板两侧支柱的，视为无效，该障碍重新通过。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9．跨越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高低栏：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受测者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必须用脚踏或用手支撑逐级跨越高低栏，严禁隔级跨越。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1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违规处罚：翻越高低栏时，隔级跨越的，视为无效，该障碍重新通过。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10．通过拱形肋木：要求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受测者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在双脚离地的状态下，必须利用双臂先从第一根栏开始至最后一根栏结束，第一根栏和最后一根栏必须用手触碰，严禁双脚在未离地的状态下用手触碰第一根栏（在第一根栏和最后一根栏垂直地面下方设置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标志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线，必须从线外起跳摸杠）。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违规处罚：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（1）手未触碰第一根栏或最后一根栏的，或双脚在未离地的情况下手触碰第一根栏的，视为无效，该障碍重新通过。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（2）通过过程中，脚触地的，视为无效，该障碍重新通过。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（3）起跳前，脚踩在起点线上或越过起点线的，视为无效，该障碍重新通过。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（4）落下时，脚未越过终点线的，视为无效，该障碍重新通过。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11．绕过标志杆转弯返回，双手不得触及标志杆，如有触及本项目计时加5秒。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12．110米跑至终点。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全程跑中应按穿越各个障碍物规定的方法通过。若考官举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旗，说明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受测者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未按规定动作通过某障碍物，则该障碍物必须重新通过，否则不计成绩。若考官举黄旗，则按规定在本项目计时增加秒数。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（三）15米92G式手枪应用射击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专业技能:翻越1个人字高板后使用92G式手枪对距离15米1个胸环靶射击5发弹，考生必须在30秒内完成射击，超时后每击发1枪扣取靶面1发最高环。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测试方法: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1.每人弹数 8 发，现场提供 5 支手枪供考生抽签选择1支，考生抽签选定枪支后限时 1 分钟内使用其中3发弹立姿15米自行试射。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2.每位考生试射后，开始正式测试。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考生将5发装有实弹的匣装入枪内，关闭保险，放于15米射击地线处桌上，拍压右侧计时器开始计时，考生向身后跑动30米，期间翻越1个人字高板后绕过锥形桶返回至15米射击地线，自行取枪开保险上膛立姿无依托对前方胸环靶进行射击。超过规定用时由裁判发出指令停止射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射击过程中，遇哑弹或枪械故障，经裁判检查认定可重新开始考试。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必须听从指挥员口令，严格按照射击操作规程实施，如有违规行为，取消考核资格。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6. 射击口令及流程: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(1)裁判员下令:“射手进入靶位!”受测者进入靶位(15米射击地线)，成立姿，身体面向射击目标。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(2)裁判员下令:“装弹匣准备!”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将3发子弹压入弹匣，将实弹匣装入枪内，子弹不上膛。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(3)裁判员下令:“开始射击”同时计时开始。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自行上膛试射。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(4)1分钟后，裁判员吹长哨1声结束试射，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停止射击，卸弹匣验枪。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(5)裁判员下令:“准备好了吗？”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将弹匣装入枪内，关闭保险，枪口朝前，立姿准备，如未准备好可举手示意。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(6)裁判员下令:“开始”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自行拍压计时器开始。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(7)裁判员下令:“退子弹、验枪。”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自行退弹匣、验枪，报告“验枪完毕”，如有剩余子弹，交由裁判员收回。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（四）突击职位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测评标准</w:t>
      </w:r>
    </w:p>
    <w:p>
      <w:pPr>
        <w:pStyle w:val="2"/>
        <w:spacing w:line="280" w:lineRule="exact"/>
        <w:rPr>
          <w:rFonts w:ascii="Times New Roman" w:hAnsi="Times New Roman" w:cs="Times New Roman"/>
          <w:b w:val="0"/>
          <w:bCs w:val="0"/>
          <w:kern w:val="0"/>
        </w:rPr>
      </w:pPr>
    </w:p>
    <w:p/>
    <w:tbl>
      <w:tblPr>
        <w:tblStyle w:val="9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48"/>
        <w:gridCol w:w="1418"/>
        <w:gridCol w:w="1559"/>
        <w:gridCol w:w="155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3000米徒手跑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br w:type="textWrapping"/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（分′秒）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特警330米障碍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跑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br w:type="textWrapping"/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（分′秒）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手枪射击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（环数）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成绩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用时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成绩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用时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成绩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环数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100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1′20″00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99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13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98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1′21″00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97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96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1′22″00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95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25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94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1′23″00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93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92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34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1′24″00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91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37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90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1′25″00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89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43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88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46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1′26″00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87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49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86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52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1′27″00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85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55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84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58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1′29″00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83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01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82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04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1′31″00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81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07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80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1′33″00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79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13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78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1′35″00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77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76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1′37″00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75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25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74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1′39″00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73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72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34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1′41″00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71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37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70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1′45″00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69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43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68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46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1′49″00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67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49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66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52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1′53″00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65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55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64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58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1′57″00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63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01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62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04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2′01″00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61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07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60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2′05″00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13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2′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2′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2′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″以后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2′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″00以后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15环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以下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注：未达到最低档次标准的计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二、狙击职位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总分值200分=（3000米100分值+狙击枪射击100分值）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（一）3000米徒手跑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测试方法:考生分组测，每组不得少于2人，佩戴计时手环或手表，用站立式起跑，两脚不超过起跑线。当听到口令或枪声后开始起跑，同时设备自动计时，完成3000米后电脑自动记录每人成绩。考生不得穿钉鞋。计时裁判手动计时备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（二）80米往返取弹射击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专业技能:往返10米取弹使用88式狙击步枪对距离80米胸环靶精度射击。考生必须在120秒内完成射击，超时后每击发1枪扣取靶面1发最高环。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测试方法: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每人弹数 10 发，现场提供 4 支88狙击步枪供考生抽签选择1支，每支枪上下手轮和左右手轮随机旋转3格以上5 格以内，考生抽签选定枪支后限时 3 分钟内使用其中5发弹卧姿自行校准。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每位考生校准枪支后，开始正式测试。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将枪放置于掩体后方置地，取下空弹匣，拍压右侧计时器开始计时，考生向身后10米处取子弹1枚，返回后自行装弹射击，第1发射击完成后，自行起立取第2枚子弹完成射击，直至第5发子弹射击完毕。超过规定用时由裁判发出指令停止射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每射击1发弹需利用掩体上沿5个不同高度射击，掩体5个高度不得重复使用，射击姿势自选。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5.射击过程中，遇哑弹或枪械故障，经裁判检查认定可重新开始考试。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必须听从指挥员口令，严格按照射击操作规程实施，如有违规行为，取消考核资格。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7. 射击口令及流程: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(1)裁判员下令:“射手进入靶位!”受测者进入靶位(80米射击地线)，成卧姿，面向射击目标。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(2)裁判员下令:“装弹匣准备!”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将子弹压入弹匣，将装有5发实弹的弹匣装入枪内，子弹不上膛。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(3)裁判员下令:“开始校枪”同时计时开始。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自行上膛校准射击。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(4)2分钟后，裁判员吹短哨2声提示剩余1分钟结束，3分钟后，裁判员吹长哨1声结束校准，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停止射击，卸弹匣验枪。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(5)裁判员下令:“准备好了吗？”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持弹匣立姿准备，如未准备好可举手示意。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(6)裁判员下令:“开始”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自行拍压计时器开始。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(7)裁判员下令:“退子弹、验枪。”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考生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自行退弹匣、验枪，报告“验枪完毕”，如有剩余子弹，交由裁判员收回。</w:t>
      </w:r>
    </w:p>
    <w:p>
      <w:pPr>
        <w:pStyle w:val="2"/>
        <w:jc w:val="both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 xml:space="preserve"> （三）狙击职位测评测评标准</w:t>
      </w:r>
    </w:p>
    <w:tbl>
      <w:tblPr>
        <w:tblStyle w:val="9"/>
        <w:tblW w:w="9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4033"/>
        <w:gridCol w:w="4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成绩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3000米徒手跑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（分′秒）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狙击步枪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100米精度射击（环）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100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99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98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97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96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95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94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93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92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91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90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89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88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87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86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85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84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83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82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81</w:t>
            </w:r>
          </w:p>
        </w:tc>
        <w:tc>
          <w:tcPr>
            <w:tcW w:w="40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80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79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78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77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76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75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74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73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72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71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70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69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68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67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66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65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64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63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62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61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60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\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注：未达到最低档次标准的计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搜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排爆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职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总分值200分=（3000米100分值+现场操作100分值）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(一)3000米徒手跑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测试方法:考生分组测，每组不得少于2人，佩戴计时手环或手表，用站立式起跑，两脚不超过起跑线。当听到口令或枪声后开始起跑，同时设备自动计时，完成3000米后电脑自动记录每人成绩。考生不得穿钉鞋。计时裁判手动计时备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（二）现场操作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采取专业面试的形式进行，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具体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1.爆炸物品常识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对爆炸物品有一定的识别能力，在规定时间辨认出特定物品名称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2.基础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电子元件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识别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有一定的电子知识，在规定时间内辨认出特定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器件名称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3.基础电路知识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有一定的电路知识，在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定时间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构造出特定功能电路，并指出使之失效的关健点。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4.爆炸装置排除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现场提供一套模拟爆炸装置，在规定时间内进行判别与排除。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搜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排爆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职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位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测评标准</w:t>
      </w:r>
    </w:p>
    <w:tbl>
      <w:tblPr>
        <w:tblStyle w:val="9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3685"/>
        <w:gridCol w:w="1001"/>
        <w:gridCol w:w="3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成绩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3000米徒手跑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（分′秒）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成绩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3000米徒手跑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（分′秒）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100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78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99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77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98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76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97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75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96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74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95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73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94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72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93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71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92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70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91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69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90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68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89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67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88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66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87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65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86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64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85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63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84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62</w:t>
            </w:r>
          </w:p>
        </w:tc>
        <w:tc>
          <w:tcPr>
            <w:tcW w:w="3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01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60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80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</w:rPr>
              <w:t>″</w:t>
            </w:r>
          </w:p>
        </w:tc>
      </w:tr>
    </w:tbl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注：未达到最低档次标准的计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0分。</w:t>
      </w:r>
    </w:p>
    <w:p>
      <w:pPr>
        <w:numPr>
          <w:ilvl w:val="0"/>
          <w:numId w:val="0"/>
        </w:numPr>
        <w:spacing w:line="600" w:lineRule="exact"/>
        <w:ind w:firstLine="420" w:firstLineChars="200"/>
        <w:jc w:val="both"/>
        <w:rPr>
          <w:rFonts w:hint="default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5" w:right="1418" w:bottom="1418" w:left="1418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asciiTheme="minorEastAsia" w:hAnsiTheme="minorEastAsia" w:eastAsiaTheme="minorEastAsia" w:cstheme="minorEastAsia"/>
        <w:color w:val="auto"/>
        <w:sz w:val="28"/>
        <w:szCs w:val="28"/>
      </w:rPr>
    </w:pPr>
    <w:r>
      <w:rPr>
        <w:rStyle w:val="12"/>
        <w:rFonts w:hint="eastAsia" w:asciiTheme="minorEastAsia" w:hAnsiTheme="minorEastAsia" w:eastAsiaTheme="minorEastAsia" w:cstheme="minorEastAsia"/>
        <w:color w:val="auto"/>
        <w:sz w:val="28"/>
        <w:szCs w:val="28"/>
      </w:rPr>
      <w:t xml:space="preserve">— </w:t>
    </w:r>
    <w:r>
      <w:rPr>
        <w:rStyle w:val="12"/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begin"/>
    </w:r>
    <w:r>
      <w:rPr>
        <w:rStyle w:val="12"/>
        <w:rFonts w:hint="eastAsia" w:asciiTheme="minorEastAsia" w:hAnsiTheme="minorEastAsia" w:eastAsiaTheme="minorEastAsia" w:cstheme="minorEastAsia"/>
        <w:color w:val="auto"/>
        <w:sz w:val="28"/>
        <w:szCs w:val="28"/>
      </w:rPr>
      <w:instrText xml:space="preserve">PAGE  </w:instrText>
    </w:r>
    <w:r>
      <w:rPr>
        <w:rStyle w:val="12"/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separate"/>
    </w:r>
    <w:r>
      <w:rPr>
        <w:rStyle w:val="12"/>
        <w:rFonts w:hint="eastAsia" w:asciiTheme="minorEastAsia" w:hAnsiTheme="minorEastAsia" w:eastAsiaTheme="minorEastAsia" w:cstheme="minorEastAsia"/>
        <w:color w:val="auto"/>
        <w:sz w:val="28"/>
        <w:szCs w:val="28"/>
      </w:rPr>
      <w:t>9</w:t>
    </w:r>
    <w:r>
      <w:rPr>
        <w:rStyle w:val="12"/>
        <w:rFonts w:hint="eastAsia" w:asciiTheme="minorEastAsia" w:hAnsiTheme="minorEastAsia" w:eastAsiaTheme="minorEastAsia" w:cstheme="minorEastAsia"/>
        <w:color w:val="auto"/>
        <w:sz w:val="28"/>
        <w:szCs w:val="28"/>
      </w:rPr>
      <w:fldChar w:fldCharType="end"/>
    </w:r>
    <w:r>
      <w:rPr>
        <w:rStyle w:val="12"/>
        <w:rFonts w:hint="eastAsia" w:asciiTheme="minorEastAsia" w:hAnsiTheme="minorEastAsia" w:eastAsiaTheme="minorEastAsia" w:cstheme="minorEastAsia"/>
        <w:color w:val="auto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&lt;root&gt;&lt;sender&gt;gatzzbtpk@163.com&lt;/sender&gt;&lt;type&gt;2&lt;/type&gt;&lt;subject&gt;2024年度</w:t>
                </w:r>
                <w:r>
                  <w:rPr>
                    <w:rFonts w:hint="eastAsia"/>
                    <w:lang w:eastAsia="zh-CN"/>
                  </w:rPr>
                  <w:t>江西省</w:t>
                </w:r>
                <w:r>
                  <w:t>公安机关特殊紧缺人才招录工作简章&lt;/subject&gt;&lt;attachmentName&gt;附件2：2024年度</w:t>
                </w:r>
                <w:r>
                  <w:rPr>
                    <w:rFonts w:hint="eastAsia"/>
                    <w:lang w:eastAsia="zh-CN"/>
                  </w:rPr>
                  <w:t>江西省</w:t>
                </w:r>
                <w:r>
                  <w:t>公安机关考试录用特战职位人民警察工作实施细则.docx&lt;/attachmentName&gt;&lt;addressee&gt;zzqrsksy@rst.gxzf.gov.cn&lt;/addressee&gt;&lt;mailSec&gt;无密级&lt;/mailSec&gt;&lt;sendTime&gt;2024-01-06 10:57:37&lt;/sendTime&gt;&lt;loadTime&gt;2024-01-07 13:31:45&lt;/loadTime&gt;&lt;/root&gt;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F43B52"/>
    <w:multiLevelType w:val="singleLevel"/>
    <w:tmpl w:val="99F43B5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28AE11"/>
    <w:multiLevelType w:val="singleLevel"/>
    <w:tmpl w:val="6528AE11"/>
    <w:lvl w:ilvl="0" w:tentative="0">
      <w:start w:val="13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cumentProtection w:enforcement="0"/>
  <w:defaultTabStop w:val="420"/>
  <w:drawingGridHorizontalSpacing w:val="210"/>
  <w:drawingGridVerticalSpacing w:val="156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1MWEyYWJkMmMyNDBjNzgxZWI2NjEwNGJhZmM1ZDMifQ=="/>
  </w:docVars>
  <w:rsids>
    <w:rsidRoot w:val="00000000"/>
    <w:rsid w:val="00320989"/>
    <w:rsid w:val="00355C0A"/>
    <w:rsid w:val="00944B3C"/>
    <w:rsid w:val="02777F87"/>
    <w:rsid w:val="047D7863"/>
    <w:rsid w:val="05BB51FE"/>
    <w:rsid w:val="05EE6E93"/>
    <w:rsid w:val="06603B05"/>
    <w:rsid w:val="085B33E2"/>
    <w:rsid w:val="0864102F"/>
    <w:rsid w:val="089320DC"/>
    <w:rsid w:val="095451BF"/>
    <w:rsid w:val="09F84FEC"/>
    <w:rsid w:val="0A7263EE"/>
    <w:rsid w:val="0A9530E6"/>
    <w:rsid w:val="0BBD0135"/>
    <w:rsid w:val="0D566151"/>
    <w:rsid w:val="0DCA53F9"/>
    <w:rsid w:val="0DFC761F"/>
    <w:rsid w:val="0EA021EB"/>
    <w:rsid w:val="0FE00F24"/>
    <w:rsid w:val="10CB1E71"/>
    <w:rsid w:val="11160864"/>
    <w:rsid w:val="13EA6098"/>
    <w:rsid w:val="1487031D"/>
    <w:rsid w:val="14F5665D"/>
    <w:rsid w:val="15703EEB"/>
    <w:rsid w:val="18D730DD"/>
    <w:rsid w:val="19093450"/>
    <w:rsid w:val="1C3E41F9"/>
    <w:rsid w:val="1D2C1587"/>
    <w:rsid w:val="2004003E"/>
    <w:rsid w:val="22A75EE5"/>
    <w:rsid w:val="23103721"/>
    <w:rsid w:val="24C9317E"/>
    <w:rsid w:val="26C31214"/>
    <w:rsid w:val="27A57F13"/>
    <w:rsid w:val="27B036C5"/>
    <w:rsid w:val="27FA0C19"/>
    <w:rsid w:val="290F5F58"/>
    <w:rsid w:val="29905DF0"/>
    <w:rsid w:val="2A0D49FF"/>
    <w:rsid w:val="2AB12C59"/>
    <w:rsid w:val="2BB324C4"/>
    <w:rsid w:val="2C611192"/>
    <w:rsid w:val="2DC10397"/>
    <w:rsid w:val="2DC54C15"/>
    <w:rsid w:val="2DC77501"/>
    <w:rsid w:val="2F463AB3"/>
    <w:rsid w:val="30BF569E"/>
    <w:rsid w:val="310F4C6D"/>
    <w:rsid w:val="332B3512"/>
    <w:rsid w:val="33BD0F1F"/>
    <w:rsid w:val="34254C7A"/>
    <w:rsid w:val="35735930"/>
    <w:rsid w:val="3722735E"/>
    <w:rsid w:val="38152697"/>
    <w:rsid w:val="38B90864"/>
    <w:rsid w:val="3AB67693"/>
    <w:rsid w:val="3C590645"/>
    <w:rsid w:val="3F372BE3"/>
    <w:rsid w:val="3FC16D58"/>
    <w:rsid w:val="44016916"/>
    <w:rsid w:val="45993E63"/>
    <w:rsid w:val="45F2349C"/>
    <w:rsid w:val="465B0703"/>
    <w:rsid w:val="477B57FD"/>
    <w:rsid w:val="48161C74"/>
    <w:rsid w:val="48546817"/>
    <w:rsid w:val="48760F2E"/>
    <w:rsid w:val="4D6313B7"/>
    <w:rsid w:val="4DB76C29"/>
    <w:rsid w:val="4E911E84"/>
    <w:rsid w:val="4EF82D7D"/>
    <w:rsid w:val="4F8D12F8"/>
    <w:rsid w:val="5189768B"/>
    <w:rsid w:val="527F17AA"/>
    <w:rsid w:val="52BA28C6"/>
    <w:rsid w:val="52DA6B12"/>
    <w:rsid w:val="536F5E03"/>
    <w:rsid w:val="560C4FEE"/>
    <w:rsid w:val="56BA4960"/>
    <w:rsid w:val="584E4779"/>
    <w:rsid w:val="58B50878"/>
    <w:rsid w:val="5AB2355D"/>
    <w:rsid w:val="5B771BCD"/>
    <w:rsid w:val="5C3C7C32"/>
    <w:rsid w:val="5C5C2026"/>
    <w:rsid w:val="5C7440E9"/>
    <w:rsid w:val="5C7F409A"/>
    <w:rsid w:val="5CD91F46"/>
    <w:rsid w:val="5D605012"/>
    <w:rsid w:val="5DC36B6B"/>
    <w:rsid w:val="5E47737A"/>
    <w:rsid w:val="5EBB289D"/>
    <w:rsid w:val="5F466F5B"/>
    <w:rsid w:val="5F57172C"/>
    <w:rsid w:val="60B55690"/>
    <w:rsid w:val="60FE08C4"/>
    <w:rsid w:val="61EF2BBF"/>
    <w:rsid w:val="64477757"/>
    <w:rsid w:val="652042EC"/>
    <w:rsid w:val="65724C45"/>
    <w:rsid w:val="65A72D05"/>
    <w:rsid w:val="680F0C9A"/>
    <w:rsid w:val="68B54055"/>
    <w:rsid w:val="695879DD"/>
    <w:rsid w:val="69A03AD5"/>
    <w:rsid w:val="6A564A03"/>
    <w:rsid w:val="6BA97360"/>
    <w:rsid w:val="6C4D7D79"/>
    <w:rsid w:val="6CB31585"/>
    <w:rsid w:val="71CD3695"/>
    <w:rsid w:val="71FF2C34"/>
    <w:rsid w:val="72B7466B"/>
    <w:rsid w:val="73224BF2"/>
    <w:rsid w:val="73264D6C"/>
    <w:rsid w:val="740C5303"/>
    <w:rsid w:val="74804AF1"/>
    <w:rsid w:val="75632702"/>
    <w:rsid w:val="75906CBD"/>
    <w:rsid w:val="7C1E0DC5"/>
    <w:rsid w:val="7C421737"/>
    <w:rsid w:val="7D8E4868"/>
    <w:rsid w:val="7DA1779F"/>
    <w:rsid w:val="7E0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link w:val="14"/>
    <w:qFormat/>
    <w:uiPriority w:val="99"/>
    <w:pPr>
      <w:spacing w:line="24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link w:val="15"/>
    <w:qFormat/>
    <w:uiPriority w:val="99"/>
    <w:pPr>
      <w:spacing w:after="120"/>
      <w:ind w:left="200" w:leftChars="200"/>
    </w:pPr>
  </w:style>
  <w:style w:type="paragraph" w:styleId="4">
    <w:name w:val="Document Map"/>
    <w:basedOn w:val="1"/>
    <w:link w:val="16"/>
    <w:qFormat/>
    <w:uiPriority w:val="99"/>
    <w:rPr>
      <w:rFonts w:ascii="宋体"/>
      <w:sz w:val="18"/>
      <w:szCs w:val="18"/>
    </w:r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page number"/>
    <w:basedOn w:val="10"/>
    <w:qFormat/>
    <w:uiPriority w:val="99"/>
    <w:rPr>
      <w:rFonts w:ascii="Times New Roman" w:hAnsi="Times New Roman" w:cs="Times New Roman"/>
      <w:color w:val="auto"/>
      <w:sz w:val="28"/>
      <w:vertAlign w:val="baseline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Title Char"/>
    <w:basedOn w:val="10"/>
    <w:link w:val="2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15">
    <w:name w:val="Body Text Indent Char"/>
    <w:basedOn w:val="10"/>
    <w:link w:val="3"/>
    <w:semiHidden/>
    <w:qFormat/>
    <w:uiPriority w:val="99"/>
    <w:rPr>
      <w:rFonts w:ascii="Calibri" w:hAnsi="Calibri"/>
      <w:szCs w:val="24"/>
    </w:rPr>
  </w:style>
  <w:style w:type="character" w:customStyle="1" w:styleId="16">
    <w:name w:val="Document Map Char"/>
    <w:basedOn w:val="10"/>
    <w:link w:val="4"/>
    <w:qFormat/>
    <w:locked/>
    <w:uiPriority w:val="99"/>
    <w:rPr>
      <w:rFonts w:ascii="宋体" w:hAnsi="Calibri"/>
      <w:kern w:val="2"/>
      <w:sz w:val="18"/>
    </w:rPr>
  </w:style>
  <w:style w:type="character" w:customStyle="1" w:styleId="17">
    <w:name w:val="Balloon Text Char"/>
    <w:basedOn w:val="10"/>
    <w:link w:val="5"/>
    <w:qFormat/>
    <w:locked/>
    <w:uiPriority w:val="99"/>
    <w:rPr>
      <w:rFonts w:ascii="Calibri" w:hAnsi="Calibri"/>
      <w:kern w:val="2"/>
      <w:sz w:val="18"/>
    </w:rPr>
  </w:style>
  <w:style w:type="character" w:customStyle="1" w:styleId="18">
    <w:name w:val="Footer Char"/>
    <w:basedOn w:val="10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19">
    <w:name w:val="Header Char"/>
    <w:basedOn w:val="10"/>
    <w:link w:val="7"/>
    <w:semiHidden/>
    <w:qFormat/>
    <w:uiPriority w:val="99"/>
    <w:rPr>
      <w:rFonts w:ascii="Calibri" w:hAnsi="Calibri"/>
      <w:sz w:val="18"/>
      <w:szCs w:val="18"/>
    </w:rPr>
  </w:style>
  <w:style w:type="paragraph" w:customStyle="1" w:styleId="20">
    <w:name w:val="_Style 8"/>
    <w:basedOn w:val="4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character" w:customStyle="1" w:styleId="21">
    <w:name w:val="fontstyle01"/>
    <w:basedOn w:val="10"/>
    <w:qFormat/>
    <w:uiPriority w:val="99"/>
    <w:rPr>
      <w:rFonts w:ascii="宋体" w:hAnsi="宋体" w:eastAsia="宋体" w:cs="宋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656</Words>
  <Characters>3741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2022-02-16T17:06:00Z</dcterms:created>
  <dc:creator>XQ</dc:creator>
  <cp:lastModifiedBy>ChenNa</cp:lastModifiedBy>
  <cp:lastPrinted>2024-10-11T02:54:00Z</cp:lastPrinted>
  <dcterms:modified xsi:type="dcterms:W3CDTF">2024-10-12T09:03:21Z</dcterms:modified>
  <dc:title>江苏省公安机关2022年度考试录用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E4CD21170A6147BDBDB1F1185794E29B</vt:lpwstr>
  </property>
  <property fmtid="{D5CDD505-2E9C-101B-9397-08002B2CF9AE}" pid="3" name="KSOProductBuildVer">
    <vt:lpwstr>2052-11.8.2.9022</vt:lpwstr>
  </property>
</Properties>
</file>