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862EC">
      <w:pPr>
        <w:pStyle w:val="11"/>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both"/>
        <w:rPr>
          <w:rFonts w:hint="default" w:ascii="Times New Roman" w:hAnsi="Times New Roman" w:eastAsia="方正黑体简体" w:cs="Times New Roman"/>
          <w:i w:val="0"/>
          <w:color w:val="000000"/>
          <w:spacing w:val="0"/>
          <w:kern w:val="0"/>
          <w:sz w:val="28"/>
          <w:szCs w:val="28"/>
          <w:u w:val="none"/>
          <w:shd w:val="clear"/>
          <w:lang w:val="en-US" w:eastAsia="zh-CN" w:bidi="ar"/>
        </w:rPr>
      </w:pPr>
      <w:r>
        <w:rPr>
          <w:rFonts w:hint="default" w:ascii="Times New Roman" w:hAnsi="Times New Roman" w:eastAsia="方正黑体简体" w:cs="Times New Roman"/>
          <w:i w:val="0"/>
          <w:color w:val="000000"/>
          <w:spacing w:val="0"/>
          <w:kern w:val="0"/>
          <w:sz w:val="28"/>
          <w:szCs w:val="28"/>
          <w:u w:val="none"/>
          <w:shd w:val="clear"/>
          <w:lang w:val="en-US" w:eastAsia="zh-CN" w:bidi="ar"/>
        </w:rPr>
        <w:t>附件</w:t>
      </w:r>
      <w:r>
        <w:rPr>
          <w:rFonts w:hint="default" w:ascii="Times New Roman" w:hAnsi="Times New Roman" w:eastAsia="方正黑体简体" w:cs="Times New Roman"/>
          <w:i w:val="0"/>
          <w:color w:val="000000"/>
          <w:spacing w:val="0"/>
          <w:kern w:val="0"/>
          <w:sz w:val="28"/>
          <w:szCs w:val="32"/>
          <w:u w:val="none"/>
          <w:shd w:val="clear"/>
          <w:lang w:val="zh-CN" w:eastAsia="zh-CN" w:bidi="ar"/>
        </w:rPr>
        <w:t>1</w:t>
      </w:r>
      <w:r>
        <w:rPr>
          <w:rFonts w:hint="default" w:ascii="Times New Roman" w:hAnsi="Times New Roman" w:eastAsia="方正黑体简体" w:cs="Times New Roman"/>
          <w:i w:val="0"/>
          <w:color w:val="000000"/>
          <w:spacing w:val="0"/>
          <w:kern w:val="0"/>
          <w:sz w:val="28"/>
          <w:szCs w:val="28"/>
          <w:u w:val="none"/>
          <w:shd w:val="clear"/>
          <w:lang w:val="zh-CN" w:eastAsia="zh-CN" w:bidi="ar"/>
        </w:rPr>
        <w:t>：</w:t>
      </w:r>
    </w:p>
    <w:p w14:paraId="4CB168C4">
      <w:pPr>
        <w:pStyle w:val="11"/>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cente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begin"/>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instrText xml:space="preserve"> HYPERLINK "http://www.btnsss.gov.cn/wcm.files/upload/CMSBTSSS/202209/202209160900022.xls" \t "http://www.btnsss.gov.cn/gggq/_blank" </w:instrTex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separate"/>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新疆红星城市开发建设有限公司招聘职数及岗位任职资格条件</w: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end"/>
      </w:r>
    </w:p>
    <w:tbl>
      <w:tblPr>
        <w:tblStyle w:val="9"/>
        <w:tblpPr w:leftFromText="180" w:rightFromText="180" w:vertAnchor="text" w:horzAnchor="page" w:tblpX="1263" w:tblpY="279"/>
        <w:tblOverlap w:val="never"/>
        <w:tblW w:w="1441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08"/>
        <w:gridCol w:w="1382"/>
        <w:gridCol w:w="1227"/>
        <w:gridCol w:w="761"/>
        <w:gridCol w:w="4350"/>
        <w:gridCol w:w="4261"/>
        <w:gridCol w:w="2025"/>
      </w:tblGrid>
      <w:tr w14:paraId="680C5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408" w:type="dxa"/>
            <w:tcBorders>
              <w:tl2br w:val="nil"/>
              <w:tr2bl w:val="nil"/>
            </w:tcBorders>
            <w:shd w:val="clear" w:color="auto" w:fill="FFFFFF"/>
            <w:noWrap w:val="0"/>
            <w:vAlign w:val="center"/>
          </w:tcPr>
          <w:p w14:paraId="2882B77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382" w:type="dxa"/>
            <w:tcBorders>
              <w:tl2br w:val="nil"/>
              <w:tr2bl w:val="nil"/>
            </w:tcBorders>
            <w:shd w:val="clear" w:color="auto" w:fill="FFFFFF"/>
            <w:noWrap w:val="0"/>
            <w:vAlign w:val="center"/>
          </w:tcPr>
          <w:p w14:paraId="27E0044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1227" w:type="dxa"/>
            <w:tcBorders>
              <w:tl2br w:val="nil"/>
              <w:tr2bl w:val="nil"/>
            </w:tcBorders>
            <w:shd w:val="clear" w:color="auto" w:fill="FFFFFF"/>
            <w:noWrap w:val="0"/>
            <w:vAlign w:val="center"/>
          </w:tcPr>
          <w:p w14:paraId="47458F1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761" w:type="dxa"/>
            <w:tcBorders>
              <w:tl2br w:val="nil"/>
              <w:tr2bl w:val="nil"/>
            </w:tcBorders>
            <w:shd w:val="clear" w:color="auto" w:fill="FFFFFF"/>
            <w:noWrap w:val="0"/>
            <w:vAlign w:val="center"/>
          </w:tcPr>
          <w:p w14:paraId="29440A1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350" w:type="dxa"/>
            <w:tcBorders>
              <w:tl2br w:val="nil"/>
              <w:tr2bl w:val="nil"/>
            </w:tcBorders>
            <w:shd w:val="clear" w:color="auto" w:fill="FFFFFF"/>
            <w:noWrap w:val="0"/>
            <w:vAlign w:val="center"/>
          </w:tcPr>
          <w:p w14:paraId="234658A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261" w:type="dxa"/>
            <w:tcBorders>
              <w:tl2br w:val="nil"/>
              <w:tr2bl w:val="nil"/>
            </w:tcBorders>
            <w:shd w:val="clear" w:color="auto" w:fill="FFFFFF"/>
            <w:noWrap w:val="0"/>
            <w:vAlign w:val="center"/>
          </w:tcPr>
          <w:p w14:paraId="0EC775E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25" w:type="dxa"/>
            <w:tcBorders>
              <w:tl2br w:val="nil"/>
              <w:tr2bl w:val="nil"/>
            </w:tcBorders>
            <w:shd w:val="clear" w:color="auto" w:fill="FFFFFF"/>
            <w:noWrap w:val="0"/>
            <w:vAlign w:val="center"/>
          </w:tcPr>
          <w:p w14:paraId="7F1D6FE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39E84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31" w:hRule="atLeast"/>
        </w:trPr>
        <w:tc>
          <w:tcPr>
            <w:tcW w:w="408" w:type="dxa"/>
            <w:tcBorders>
              <w:tl2br w:val="nil"/>
              <w:tr2bl w:val="nil"/>
            </w:tcBorders>
            <w:shd w:val="clear" w:color="auto" w:fill="FFFFFF"/>
            <w:noWrap w:val="0"/>
            <w:vAlign w:val="center"/>
          </w:tcPr>
          <w:p w14:paraId="601019A9">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t>1</w:t>
            </w:r>
          </w:p>
        </w:tc>
        <w:tc>
          <w:tcPr>
            <w:tcW w:w="1382" w:type="dxa"/>
            <w:tcBorders>
              <w:tl2br w:val="nil"/>
              <w:tr2bl w:val="nil"/>
            </w:tcBorders>
            <w:shd w:val="clear" w:color="auto" w:fill="FFFFFF"/>
            <w:noWrap w:val="0"/>
            <w:vAlign w:val="center"/>
          </w:tcPr>
          <w:p w14:paraId="03CF274A">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党群工作部</w:t>
            </w:r>
          </w:p>
        </w:tc>
        <w:tc>
          <w:tcPr>
            <w:tcW w:w="1227" w:type="dxa"/>
            <w:tcBorders>
              <w:tl2br w:val="nil"/>
              <w:tr2bl w:val="nil"/>
            </w:tcBorders>
            <w:shd w:val="clear" w:color="auto" w:fill="FFFFFF"/>
            <w:noWrap w:val="0"/>
            <w:vAlign w:val="center"/>
          </w:tcPr>
          <w:p w14:paraId="1E96F3C2">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党建专员</w:t>
            </w:r>
          </w:p>
        </w:tc>
        <w:tc>
          <w:tcPr>
            <w:tcW w:w="761" w:type="dxa"/>
            <w:tcBorders>
              <w:tl2br w:val="nil"/>
              <w:tr2bl w:val="nil"/>
            </w:tcBorders>
            <w:shd w:val="clear" w:color="auto" w:fill="FFFFFF"/>
            <w:noWrap w:val="0"/>
            <w:vAlign w:val="center"/>
          </w:tcPr>
          <w:p w14:paraId="33BA4B0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4350" w:type="dxa"/>
            <w:tcBorders>
              <w:tl2br w:val="nil"/>
              <w:tr2bl w:val="nil"/>
            </w:tcBorders>
            <w:shd w:val="clear" w:color="auto" w:fill="FFFFFF"/>
            <w:noWrap w:val="0"/>
            <w:vAlign w:val="center"/>
          </w:tcPr>
          <w:p w14:paraId="378E7EE1">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240" w:lineRule="atLeast"/>
              <w:ind w:left="0" w:leftChars="0" w:right="0" w:rightChars="0" w:firstLine="480" w:firstLineChars="20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配合部门领导做好党的建设及党风廉政建设工作；保密及意识形态管理工作；负责做好党建ops系统和兵团党员教育平台维护；公司党支部日常工作等；完成公司及部门领导交办的其他工作。</w:t>
            </w:r>
          </w:p>
        </w:tc>
        <w:tc>
          <w:tcPr>
            <w:tcW w:w="4261" w:type="dxa"/>
            <w:tcBorders>
              <w:tl2br w:val="nil"/>
              <w:tr2bl w:val="nil"/>
            </w:tcBorders>
            <w:shd w:val="clear" w:color="auto" w:fill="FFFFFF"/>
            <w:noWrap w:val="0"/>
            <w:vAlign w:val="center"/>
          </w:tcPr>
          <w:p w14:paraId="60549D82">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1.大专及以上学历，年龄</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40</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岁以下；</w:t>
            </w:r>
          </w:p>
          <w:p w14:paraId="51C2C9CD">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2.中共党员，具有</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3</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年以上国企或</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机关事业单位</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党群工作经验；</w:t>
            </w:r>
          </w:p>
          <w:p w14:paraId="3933F754">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3.具有一定的写作和综合协调能力，工作效率高，执行力强；</w:t>
            </w:r>
          </w:p>
          <w:p w14:paraId="42B6F400">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4.熟悉党务工作流程；熟练使用办公软件及各种办公设备</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p>
        </w:tc>
        <w:tc>
          <w:tcPr>
            <w:tcW w:w="2025" w:type="dxa"/>
            <w:tcBorders>
              <w:tl2br w:val="nil"/>
              <w:tr2bl w:val="nil"/>
            </w:tcBorders>
            <w:shd w:val="clear" w:color="auto" w:fill="FFFFFF"/>
            <w:noWrap w:val="0"/>
            <w:vAlign w:val="center"/>
          </w:tcPr>
          <w:p w14:paraId="71DA626B">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r w14:paraId="6A8A0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08" w:type="dxa"/>
            <w:tcBorders>
              <w:tl2br w:val="nil"/>
              <w:tr2bl w:val="nil"/>
            </w:tcBorders>
            <w:shd w:val="clear" w:color="auto" w:fill="FFFFFF"/>
            <w:noWrap w:val="0"/>
            <w:vAlign w:val="center"/>
          </w:tcPr>
          <w:p w14:paraId="2EAD6B80">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2</w:t>
            </w:r>
          </w:p>
        </w:tc>
        <w:tc>
          <w:tcPr>
            <w:tcW w:w="1382" w:type="dxa"/>
            <w:tcBorders>
              <w:tl2br w:val="nil"/>
              <w:tr2bl w:val="nil"/>
            </w:tcBorders>
            <w:shd w:val="clear" w:color="auto" w:fill="FFFFFF"/>
            <w:noWrap w:val="0"/>
            <w:vAlign w:val="center"/>
          </w:tcPr>
          <w:p w14:paraId="459596B7">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olor w:val="000000"/>
                <w:spacing w:val="0"/>
                <w:kern w:val="0"/>
                <w:sz w:val="24"/>
                <w:szCs w:val="24"/>
                <w:u w:val="none"/>
                <w:lang w:val="en-US" w:eastAsia="zh-CN" w:bidi="ar"/>
              </w:rPr>
              <w:t>市场运营部</w:t>
            </w:r>
          </w:p>
        </w:tc>
        <w:tc>
          <w:tcPr>
            <w:tcW w:w="1227" w:type="dxa"/>
            <w:tcBorders>
              <w:tl2br w:val="nil"/>
              <w:tr2bl w:val="nil"/>
            </w:tcBorders>
            <w:shd w:val="clear" w:color="auto" w:fill="FFFFFF"/>
            <w:noWrap w:val="0"/>
            <w:vAlign w:val="center"/>
          </w:tcPr>
          <w:p w14:paraId="17A2AA3E">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法务</w:t>
            </w:r>
            <w:r>
              <w:rPr>
                <w:rFonts w:hint="eastAsia" w:ascii="Times New Roman" w:hAnsi="Times New Roman" w:eastAsia="方正仿宋简体" w:cs="Times New Roman"/>
                <w:i w:val="0"/>
                <w:iCs w:val="0"/>
                <w:color w:val="000000"/>
                <w:spacing w:val="0"/>
                <w:kern w:val="0"/>
                <w:sz w:val="24"/>
                <w:szCs w:val="24"/>
                <w:u w:val="none"/>
                <w:lang w:val="en-US" w:eastAsia="zh-CN" w:bidi="ar"/>
              </w:rPr>
              <w:t>专员</w:t>
            </w:r>
          </w:p>
        </w:tc>
        <w:tc>
          <w:tcPr>
            <w:tcW w:w="761" w:type="dxa"/>
            <w:tcBorders>
              <w:tl2br w:val="nil"/>
              <w:tr2bl w:val="nil"/>
            </w:tcBorders>
            <w:shd w:val="clear" w:color="auto" w:fill="FFFFFF"/>
            <w:noWrap w:val="0"/>
            <w:vAlign w:val="center"/>
          </w:tcPr>
          <w:p w14:paraId="71F3B64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4350" w:type="dxa"/>
            <w:tcBorders>
              <w:tl2br w:val="nil"/>
              <w:tr2bl w:val="nil"/>
            </w:tcBorders>
            <w:shd w:val="clear" w:color="auto" w:fill="FFFFFF"/>
            <w:noWrap w:val="0"/>
            <w:vAlign w:val="center"/>
          </w:tcPr>
          <w:p w14:paraId="395F72FB">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80" w:firstLineChars="20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color="auto"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负责审核公司的各类合同及合同归档管理；参与公司相关业务及项目的法律风险评估；协助企业法律顾问起草或组织审查企业的重要规章制度；参与企业的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6%8A%95%E8%B5%84&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投资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9E%8D%E8%B5%84&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融资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7%A7%9F%E8%B5%81&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租赁</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B5%84%E4%BA%A7%E8%BD%AC%E8%AE%A9&amp;ie=utf-8&amp;rsv_pq=e9f58b590041f5cb&amp;oq=%E6%B3%95%E5%8A%A1%E4%B8%9A%E5%8A%A1%E5%91%98%E4%B8%BB%E8%A6%81%E5%81%9A%E4%BB%80%E4%B9%88?&amp;rsv_t=9830N9fQNjzHFmrM04DHZI+GsQ9Ue6issW9PnVLIMUkD26GtcbN5HV8DGzGbxQMeWP6kQU8HsT8&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资产转让</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82%A1%E6%94%B9&amp;ie=utf-8&amp;rsv_pq=e9f58b590041f5cb&amp;oq=%E6%B3%95%E5%8A%A1%E4%B8%9A%E5%8A%A1%E5%91%98%E4%B8%BB%E8%A6%81%E5%81%9A%E4%BB%80%E4%B9%88?&amp;rsv_t=9830N9fQNjzHFmrM04DHZI+GsQ9Ue6issW9PnVLIMUkD26GtcbN5HV8DGzGbxQMeWP6kQU8HsT8&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股改</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等涉及企业权益的重要经营活动的准备工作，并处理相关的法律事务；协助处理公司相关诉讼仲裁事项，包括为部门反馈/公司指令、组织、整理相关证据、法律文书等。</w:t>
            </w:r>
          </w:p>
        </w:tc>
        <w:tc>
          <w:tcPr>
            <w:tcW w:w="4261" w:type="dxa"/>
            <w:tcBorders>
              <w:tl2br w:val="nil"/>
              <w:tr2bl w:val="nil"/>
            </w:tcBorders>
            <w:shd w:val="clear" w:color="auto" w:fill="FFFFFF"/>
            <w:noWrap w:val="0"/>
            <w:vAlign w:val="center"/>
          </w:tcPr>
          <w:p w14:paraId="2BF34141">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1.本科学历，年龄40岁以下；</w:t>
            </w:r>
          </w:p>
          <w:p w14:paraId="7C9BDB29">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2.具有1年以上相关工作经历；</w:t>
            </w:r>
          </w:p>
          <w:p w14:paraId="0451B219">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3.具有法律相关证书优先考虑；</w:t>
            </w:r>
          </w:p>
          <w:p w14:paraId="1B78DD40">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4.具有良好的政治素养，有较强的沟通协调能力、处理复杂问题和突发事件能力，能够熟练使用办公软件者；</w:t>
            </w:r>
          </w:p>
          <w:p w14:paraId="7C0FD094">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5.薪酬按照城开公司薪酬管理办法执行。</w:t>
            </w:r>
          </w:p>
        </w:tc>
        <w:tc>
          <w:tcPr>
            <w:tcW w:w="2025" w:type="dxa"/>
            <w:tcBorders>
              <w:tl2br w:val="nil"/>
              <w:tr2bl w:val="nil"/>
            </w:tcBorders>
            <w:shd w:val="clear" w:color="auto" w:fill="FFFFFF"/>
            <w:noWrap w:val="0"/>
            <w:vAlign w:val="center"/>
          </w:tcPr>
          <w:p w14:paraId="5A8E7304">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r w14:paraId="22A8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7" w:hRule="atLeast"/>
        </w:trPr>
        <w:tc>
          <w:tcPr>
            <w:tcW w:w="408" w:type="dxa"/>
            <w:tcBorders>
              <w:tl2br w:val="nil"/>
              <w:tr2bl w:val="nil"/>
            </w:tcBorders>
            <w:shd w:val="clear" w:color="auto" w:fill="FFFFFF"/>
            <w:noWrap w:val="0"/>
            <w:vAlign w:val="center"/>
          </w:tcPr>
          <w:p w14:paraId="750E9A7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382" w:type="dxa"/>
            <w:tcBorders>
              <w:tl2br w:val="nil"/>
              <w:tr2bl w:val="nil"/>
            </w:tcBorders>
            <w:shd w:val="clear" w:color="auto" w:fill="FFFFFF"/>
            <w:noWrap w:val="0"/>
            <w:vAlign w:val="center"/>
          </w:tcPr>
          <w:p w14:paraId="7AD5C99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1227" w:type="dxa"/>
            <w:tcBorders>
              <w:tl2br w:val="nil"/>
              <w:tr2bl w:val="nil"/>
            </w:tcBorders>
            <w:shd w:val="clear" w:color="auto" w:fill="FFFFFF"/>
            <w:noWrap w:val="0"/>
            <w:vAlign w:val="center"/>
          </w:tcPr>
          <w:p w14:paraId="2C733EC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cs="Times New Roman"/>
                <w:lang w:val="en-US" w:eastAsia="zh-CN"/>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761" w:type="dxa"/>
            <w:tcBorders>
              <w:tl2br w:val="nil"/>
              <w:tr2bl w:val="nil"/>
            </w:tcBorders>
            <w:shd w:val="clear" w:color="auto" w:fill="FFFFFF"/>
            <w:noWrap w:val="0"/>
            <w:vAlign w:val="center"/>
          </w:tcPr>
          <w:p w14:paraId="0E94889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350" w:type="dxa"/>
            <w:tcBorders>
              <w:tl2br w:val="nil"/>
              <w:tr2bl w:val="nil"/>
            </w:tcBorders>
            <w:shd w:val="clear" w:color="auto" w:fill="FFFFFF"/>
            <w:noWrap w:val="0"/>
            <w:vAlign w:val="center"/>
          </w:tcPr>
          <w:p w14:paraId="1F4C551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261" w:type="dxa"/>
            <w:tcBorders>
              <w:tl2br w:val="nil"/>
              <w:tr2bl w:val="nil"/>
            </w:tcBorders>
            <w:shd w:val="clear" w:color="auto" w:fill="FFFFFF"/>
            <w:noWrap w:val="0"/>
            <w:vAlign w:val="center"/>
          </w:tcPr>
          <w:p w14:paraId="69F4E9B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25" w:type="dxa"/>
            <w:tcBorders>
              <w:tl2br w:val="nil"/>
              <w:tr2bl w:val="nil"/>
            </w:tcBorders>
            <w:shd w:val="clear" w:color="auto" w:fill="FFFFFF"/>
            <w:noWrap w:val="0"/>
            <w:vAlign w:val="center"/>
          </w:tcPr>
          <w:p w14:paraId="439E15E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5E787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93" w:hRule="atLeast"/>
        </w:trPr>
        <w:tc>
          <w:tcPr>
            <w:tcW w:w="408" w:type="dxa"/>
            <w:tcBorders>
              <w:tl2br w:val="nil"/>
              <w:tr2bl w:val="nil"/>
            </w:tcBorders>
            <w:shd w:val="clear" w:color="auto" w:fill="FFFFFF"/>
            <w:noWrap w:val="0"/>
            <w:vAlign w:val="center"/>
          </w:tcPr>
          <w:p w14:paraId="68F7F705">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3</w:t>
            </w:r>
          </w:p>
        </w:tc>
        <w:tc>
          <w:tcPr>
            <w:tcW w:w="1382" w:type="dxa"/>
            <w:vMerge w:val="restart"/>
            <w:tcBorders>
              <w:tl2br w:val="nil"/>
              <w:tr2bl w:val="nil"/>
            </w:tcBorders>
            <w:shd w:val="clear" w:color="auto" w:fill="FFFFFF"/>
            <w:noWrap w:val="0"/>
            <w:vAlign w:val="center"/>
          </w:tcPr>
          <w:p w14:paraId="4D4A005D">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开发建设部</w:t>
            </w:r>
          </w:p>
        </w:tc>
        <w:tc>
          <w:tcPr>
            <w:tcW w:w="1227" w:type="dxa"/>
            <w:tcBorders>
              <w:tl2br w:val="nil"/>
              <w:tr2bl w:val="nil"/>
            </w:tcBorders>
            <w:shd w:val="clear" w:color="auto" w:fill="FFFFFF"/>
            <w:noWrap w:val="0"/>
            <w:vAlign w:val="center"/>
          </w:tcPr>
          <w:p w14:paraId="309829DD">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安全专员</w:t>
            </w:r>
          </w:p>
        </w:tc>
        <w:tc>
          <w:tcPr>
            <w:tcW w:w="761" w:type="dxa"/>
            <w:tcBorders>
              <w:tl2br w:val="nil"/>
              <w:tr2bl w:val="nil"/>
            </w:tcBorders>
            <w:shd w:val="clear" w:color="auto" w:fill="FFFFFF"/>
            <w:noWrap w:val="0"/>
            <w:vAlign w:val="center"/>
          </w:tcPr>
          <w:p w14:paraId="79E01BC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4350" w:type="dxa"/>
            <w:tcBorders>
              <w:tl2br w:val="nil"/>
              <w:tr2bl w:val="nil"/>
            </w:tcBorders>
            <w:shd w:val="clear" w:color="auto" w:fill="FFFFFF"/>
            <w:noWrap w:val="0"/>
            <w:vAlign w:val="center"/>
          </w:tcPr>
          <w:p w14:paraId="0E978D78">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80" w:firstLineChars="20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建立健全安全管理制度，明确各项安全管理制度、标准和规范；负责开展公司安全培训教育工作，做好安全文化建设；负责编制公司及各产业的安全生产应急预案、应急处置方案、组织应急演练；负责检查公司及各产业的安全生产工作的合法性、合规性、合理性，确保企业经营符合法律要求；完成公司和部门领导交办的其他工作。</w:t>
            </w:r>
          </w:p>
        </w:tc>
        <w:tc>
          <w:tcPr>
            <w:tcW w:w="4261" w:type="dxa"/>
            <w:tcBorders>
              <w:tl2br w:val="nil"/>
              <w:tr2bl w:val="nil"/>
            </w:tcBorders>
            <w:shd w:val="clear" w:color="auto" w:fill="FFFFFF"/>
            <w:noWrap w:val="0"/>
            <w:vAlign w:val="center"/>
          </w:tcPr>
          <w:p w14:paraId="40BFF199">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1.大专及以上学历，年龄40岁以下；</w:t>
            </w:r>
          </w:p>
          <w:p w14:paraId="7583EB51">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2.具有2年以上安全生产工作经验</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p>
          <w:p w14:paraId="4C4F6F30">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3.具有初级及以上注册安全工程师证书者优先考虑；</w:t>
            </w:r>
          </w:p>
          <w:p w14:paraId="05A92A43">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4.工作认真、善于学习；具有很强的责任心、为人正直、诚恳。</w:t>
            </w:r>
          </w:p>
        </w:tc>
        <w:tc>
          <w:tcPr>
            <w:tcW w:w="2025" w:type="dxa"/>
            <w:tcBorders>
              <w:tl2br w:val="nil"/>
              <w:tr2bl w:val="nil"/>
            </w:tcBorders>
            <w:shd w:val="clear" w:color="auto" w:fill="FFFFFF"/>
            <w:noWrap w:val="0"/>
            <w:vAlign w:val="center"/>
          </w:tcPr>
          <w:p w14:paraId="443AB328">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r w14:paraId="2813D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6" w:hRule="atLeast"/>
        </w:trPr>
        <w:tc>
          <w:tcPr>
            <w:tcW w:w="408" w:type="dxa"/>
            <w:tcBorders>
              <w:tl2br w:val="nil"/>
              <w:tr2bl w:val="nil"/>
            </w:tcBorders>
            <w:shd w:val="clear" w:color="auto" w:fill="FFFFFF"/>
            <w:noWrap w:val="0"/>
            <w:vAlign w:val="center"/>
          </w:tcPr>
          <w:p w14:paraId="4B8CA059">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4</w:t>
            </w:r>
          </w:p>
        </w:tc>
        <w:tc>
          <w:tcPr>
            <w:tcW w:w="1382" w:type="dxa"/>
            <w:vMerge w:val="continue"/>
            <w:tcBorders>
              <w:tl2br w:val="nil"/>
              <w:tr2bl w:val="nil"/>
            </w:tcBorders>
            <w:shd w:val="clear" w:color="auto" w:fill="FFFFFF"/>
            <w:noWrap w:val="0"/>
            <w:vAlign w:val="center"/>
          </w:tcPr>
          <w:p w14:paraId="044BFD7B">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p>
        </w:tc>
        <w:tc>
          <w:tcPr>
            <w:tcW w:w="1227" w:type="dxa"/>
            <w:tcBorders>
              <w:tl2br w:val="nil"/>
              <w:tr2bl w:val="nil"/>
            </w:tcBorders>
            <w:shd w:val="clear" w:color="auto" w:fill="FFFFFF"/>
            <w:noWrap w:val="0"/>
            <w:vAlign w:val="center"/>
          </w:tcPr>
          <w:p w14:paraId="7086DB6A">
            <w:pPr>
              <w:pStyle w:val="8"/>
              <w:keepNext w:val="0"/>
              <w:keepLines w:val="0"/>
              <w:pageBreakBefore w:val="0"/>
              <w:widowControl w:val="0"/>
              <w:kinsoku/>
              <w:wordWrap/>
              <w:overflowPunct/>
              <w:topLinePunct w:val="0"/>
              <w:bidi w:val="0"/>
              <w:spacing w:line="240" w:lineRule="atLeast"/>
              <w:jc w:val="center"/>
              <w:rPr>
                <w:rFonts w:hint="eastAsia"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项目</w:t>
            </w:r>
            <w:r>
              <w:rPr>
                <w:rFonts w:hint="eastAsia" w:ascii="Times New Roman" w:hAnsi="Times New Roman" w:eastAsia="方正仿宋简体" w:cs="Times New Roman"/>
                <w:i w:val="0"/>
                <w:iCs w:val="0"/>
                <w:color w:val="000000"/>
                <w:spacing w:val="0"/>
                <w:kern w:val="0"/>
                <w:sz w:val="24"/>
                <w:szCs w:val="24"/>
                <w:u w:val="none"/>
                <w:lang w:val="en-US" w:eastAsia="zh-CN" w:bidi="ar"/>
              </w:rPr>
              <w:t>管理</w:t>
            </w:r>
          </w:p>
          <w:p w14:paraId="454886AF">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专员</w:t>
            </w:r>
          </w:p>
        </w:tc>
        <w:tc>
          <w:tcPr>
            <w:tcW w:w="761" w:type="dxa"/>
            <w:tcBorders>
              <w:tl2br w:val="nil"/>
              <w:tr2bl w:val="nil"/>
            </w:tcBorders>
            <w:shd w:val="clear" w:color="auto" w:fill="FFFFFF"/>
            <w:noWrap w:val="0"/>
            <w:vAlign w:val="center"/>
          </w:tcPr>
          <w:p w14:paraId="69918DB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4350" w:type="dxa"/>
            <w:tcBorders>
              <w:tl2br w:val="nil"/>
              <w:tr2bl w:val="nil"/>
            </w:tcBorders>
            <w:shd w:val="clear" w:color="auto" w:fill="FFFFFF"/>
            <w:noWrap w:val="0"/>
            <w:vAlign w:val="center"/>
          </w:tcPr>
          <w:p w14:paraId="58F07154">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80" w:firstLineChars="20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协助副部长对自建项目及代建项目的推进做好统筹工作；对各项目负责人的日常工作和已开展工作进行查漏补缺以及统筹协调；组织对咨询公司及已选定第三方服务机构的服务质量进行综合考评；负责对设计单位已完成的可研、初设、施工图的内容及造价进行审核；组织本部各项目负责人对建设工程审批程序、审查流程、申报办理、施工规范、设计规范进行学习和研究；负责落实公司下达的项目建设、项目进度及投资计划；完成公司和部门领导交办的其他工作。</w:t>
            </w:r>
          </w:p>
        </w:tc>
        <w:tc>
          <w:tcPr>
            <w:tcW w:w="4261" w:type="dxa"/>
            <w:tcBorders>
              <w:tl2br w:val="nil"/>
              <w:tr2bl w:val="nil"/>
            </w:tcBorders>
            <w:shd w:val="clear" w:color="auto" w:fill="FFFFFF"/>
            <w:noWrap w:val="0"/>
            <w:vAlign w:val="center"/>
          </w:tcPr>
          <w:p w14:paraId="1B3A0C9D">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1.大专及以上学历，年龄40岁以下；</w:t>
            </w:r>
          </w:p>
          <w:p w14:paraId="79273C1C">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2.具有2年以上项目管理工作经验。</w:t>
            </w:r>
          </w:p>
          <w:p w14:paraId="3C8ACDA3">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3.具有工程类证书者优先考虑；</w:t>
            </w:r>
          </w:p>
          <w:p w14:paraId="7D74FA3B">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4.工作认真、善于学习；具有很强的责任心、为人正直、诚恳。</w:t>
            </w:r>
          </w:p>
        </w:tc>
        <w:tc>
          <w:tcPr>
            <w:tcW w:w="2025" w:type="dxa"/>
            <w:tcBorders>
              <w:tl2br w:val="nil"/>
              <w:tr2bl w:val="nil"/>
            </w:tcBorders>
            <w:shd w:val="clear" w:color="auto" w:fill="FFFFFF"/>
            <w:noWrap w:val="0"/>
            <w:vAlign w:val="center"/>
          </w:tcPr>
          <w:p w14:paraId="1CE693DC">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r w14:paraId="53194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408" w:type="dxa"/>
            <w:tcBorders>
              <w:tl2br w:val="nil"/>
              <w:tr2bl w:val="nil"/>
            </w:tcBorders>
            <w:shd w:val="clear" w:color="auto" w:fill="FFFFFF"/>
            <w:noWrap w:val="0"/>
            <w:vAlign w:val="center"/>
          </w:tcPr>
          <w:p w14:paraId="009B3FA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382" w:type="dxa"/>
            <w:tcBorders>
              <w:tl2br w:val="nil"/>
              <w:tr2bl w:val="nil"/>
            </w:tcBorders>
            <w:shd w:val="clear" w:color="auto" w:fill="FFFFFF"/>
            <w:noWrap w:val="0"/>
            <w:vAlign w:val="center"/>
          </w:tcPr>
          <w:p w14:paraId="7344AA5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1227" w:type="dxa"/>
            <w:tcBorders>
              <w:tl2br w:val="nil"/>
              <w:tr2bl w:val="nil"/>
            </w:tcBorders>
            <w:shd w:val="clear" w:color="auto" w:fill="FFFFFF"/>
            <w:noWrap w:val="0"/>
            <w:vAlign w:val="center"/>
          </w:tcPr>
          <w:p w14:paraId="7FB7E67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761" w:type="dxa"/>
            <w:tcBorders>
              <w:tl2br w:val="nil"/>
              <w:tr2bl w:val="nil"/>
            </w:tcBorders>
            <w:shd w:val="clear" w:color="auto" w:fill="FFFFFF"/>
            <w:noWrap w:val="0"/>
            <w:vAlign w:val="center"/>
          </w:tcPr>
          <w:p w14:paraId="6A8AEEE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350" w:type="dxa"/>
            <w:tcBorders>
              <w:tl2br w:val="nil"/>
              <w:tr2bl w:val="nil"/>
            </w:tcBorders>
            <w:shd w:val="clear" w:color="auto" w:fill="FFFFFF"/>
            <w:noWrap w:val="0"/>
            <w:vAlign w:val="center"/>
          </w:tcPr>
          <w:p w14:paraId="7599B3F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261" w:type="dxa"/>
            <w:tcBorders>
              <w:tl2br w:val="nil"/>
              <w:tr2bl w:val="nil"/>
            </w:tcBorders>
            <w:shd w:val="clear" w:color="auto" w:fill="FFFFFF"/>
            <w:noWrap w:val="0"/>
            <w:vAlign w:val="center"/>
          </w:tcPr>
          <w:p w14:paraId="64CBA53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25" w:type="dxa"/>
            <w:tcBorders>
              <w:tl2br w:val="nil"/>
              <w:tr2bl w:val="nil"/>
            </w:tcBorders>
            <w:shd w:val="clear" w:color="auto" w:fill="FFFFFF"/>
            <w:noWrap w:val="0"/>
            <w:vAlign w:val="center"/>
          </w:tcPr>
          <w:p w14:paraId="305D096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4B75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4" w:hRule="atLeast"/>
        </w:trPr>
        <w:tc>
          <w:tcPr>
            <w:tcW w:w="408" w:type="dxa"/>
            <w:tcBorders>
              <w:tl2br w:val="nil"/>
              <w:tr2bl w:val="nil"/>
            </w:tcBorders>
            <w:shd w:val="clear" w:color="auto" w:fill="FFFFFF"/>
            <w:noWrap w:val="0"/>
            <w:vAlign w:val="center"/>
          </w:tcPr>
          <w:p w14:paraId="6AA8F1C6">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5</w:t>
            </w:r>
          </w:p>
        </w:tc>
        <w:tc>
          <w:tcPr>
            <w:tcW w:w="1382" w:type="dxa"/>
            <w:vMerge w:val="restart"/>
            <w:tcBorders>
              <w:tl2br w:val="nil"/>
              <w:tr2bl w:val="nil"/>
            </w:tcBorders>
            <w:shd w:val="clear" w:color="auto" w:fill="FFFFFF"/>
            <w:noWrap w:val="0"/>
            <w:vAlign w:val="center"/>
          </w:tcPr>
          <w:p w14:paraId="1CE78E4D">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砂石矿</w:t>
            </w:r>
          </w:p>
          <w:p w14:paraId="10EC9004">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业务板块</w:t>
            </w:r>
          </w:p>
        </w:tc>
        <w:tc>
          <w:tcPr>
            <w:tcW w:w="1227" w:type="dxa"/>
            <w:tcBorders>
              <w:tl2br w:val="nil"/>
              <w:tr2bl w:val="nil"/>
            </w:tcBorders>
            <w:shd w:val="clear" w:color="auto" w:fill="FFFFFF"/>
            <w:noWrap w:val="0"/>
            <w:vAlign w:val="center"/>
          </w:tcPr>
          <w:p w14:paraId="2595C506">
            <w:pPr>
              <w:pStyle w:val="8"/>
              <w:keepNext w:val="0"/>
              <w:keepLines w:val="0"/>
              <w:pageBreakBefore w:val="0"/>
              <w:widowControl w:val="0"/>
              <w:kinsoku/>
              <w:wordWrap/>
              <w:overflowPunct/>
              <w:topLinePunct w:val="0"/>
              <w:bidi w:val="0"/>
              <w:spacing w:line="240" w:lineRule="atLeast"/>
              <w:jc w:val="center"/>
              <w:rPr>
                <w:rFonts w:hint="eastAsia"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olor w:val="000000"/>
                <w:spacing w:val="0"/>
                <w:kern w:val="0"/>
                <w:sz w:val="24"/>
                <w:szCs w:val="24"/>
                <w:u w:val="none"/>
                <w:lang w:val="en-US" w:eastAsia="zh-CN" w:bidi="ar"/>
              </w:rPr>
              <w:t>砂石矿</w:t>
            </w:r>
          </w:p>
          <w:p w14:paraId="69F0E92F">
            <w:pPr>
              <w:pStyle w:val="8"/>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安全员</w:t>
            </w:r>
          </w:p>
        </w:tc>
        <w:tc>
          <w:tcPr>
            <w:tcW w:w="761" w:type="dxa"/>
            <w:tcBorders>
              <w:tl2br w:val="nil"/>
              <w:tr2bl w:val="nil"/>
            </w:tcBorders>
            <w:shd w:val="clear" w:color="auto" w:fill="FFFFFF"/>
            <w:noWrap w:val="0"/>
            <w:vAlign w:val="center"/>
          </w:tcPr>
          <w:p w14:paraId="364A736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4350" w:type="dxa"/>
            <w:tcBorders>
              <w:tl2br w:val="nil"/>
              <w:tr2bl w:val="nil"/>
            </w:tcBorders>
            <w:shd w:val="clear" w:color="auto" w:fill="FFFFFF"/>
            <w:noWrap w:val="0"/>
            <w:vAlign w:val="center"/>
          </w:tcPr>
          <w:p w14:paraId="20927B6D">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建立健全安全管理制度，明确各项安全管理制度、标准和规范；负责开展砂石矿安全培训教育工作，做好安全文化建设；负责编制砂石矿产业的安全生产应急预案、应急处置方案、组织应急演练；负责检查安全生产工作的合法性、合规性、合理性，确保砂石矿经营符合法律要求；完成领导交办的其他工作。</w:t>
            </w:r>
          </w:p>
        </w:tc>
        <w:tc>
          <w:tcPr>
            <w:tcW w:w="4261" w:type="dxa"/>
            <w:tcBorders>
              <w:tl2br w:val="nil"/>
              <w:tr2bl w:val="nil"/>
            </w:tcBorders>
            <w:shd w:val="clear" w:color="auto" w:fill="FFFFFF"/>
            <w:noWrap w:val="0"/>
            <w:vAlign w:val="center"/>
          </w:tcPr>
          <w:p w14:paraId="3721B67D">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1.大专及以上学历，年龄45岁以下；</w:t>
            </w:r>
          </w:p>
          <w:p w14:paraId="17E7C81B">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2.具有3年以上非煤矿山或金属非金属矿山安全生产工作经验；</w:t>
            </w:r>
          </w:p>
          <w:p w14:paraId="6F0D6613">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3.具有采矿、地质、机电专业职称者优先考虑；</w:t>
            </w:r>
          </w:p>
          <w:p w14:paraId="68FB2B2A">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4.工作认真、善于学习；具有很强的责任心、为人正直、诚恳</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p>
        </w:tc>
        <w:tc>
          <w:tcPr>
            <w:tcW w:w="2025" w:type="dxa"/>
            <w:tcBorders>
              <w:tl2br w:val="nil"/>
              <w:tr2bl w:val="nil"/>
            </w:tcBorders>
            <w:shd w:val="clear" w:color="auto" w:fill="FFFFFF"/>
            <w:noWrap w:val="0"/>
            <w:vAlign w:val="center"/>
          </w:tcPr>
          <w:p w14:paraId="1EA2F452">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r w14:paraId="39BE2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7" w:hRule="atLeast"/>
        </w:trPr>
        <w:tc>
          <w:tcPr>
            <w:tcW w:w="408" w:type="dxa"/>
            <w:tcBorders>
              <w:tl2br w:val="nil"/>
              <w:tr2bl w:val="nil"/>
            </w:tcBorders>
            <w:shd w:val="clear" w:color="auto" w:fill="FFFFFF"/>
            <w:noWrap w:val="0"/>
            <w:vAlign w:val="center"/>
          </w:tcPr>
          <w:p w14:paraId="5024CDF7">
            <w:pPr>
              <w:pStyle w:val="1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2"/>
                <w:szCs w:val="22"/>
                <w:u w:val="none"/>
                <w:lang w:val="en-US" w:eastAsia="zh-CN" w:bidi="ar"/>
              </w:rPr>
            </w:pPr>
            <w:r>
              <w:rPr>
                <w:rFonts w:hint="eastAsia" w:ascii="Times New Roman" w:hAnsi="Times New Roman" w:eastAsia="方正仿宋简体" w:cs="Times New Roman"/>
                <w:b w:val="0"/>
                <w:bCs w:val="0"/>
                <w:i w:val="0"/>
                <w:iCs w:val="0"/>
                <w:color w:val="000000"/>
                <w:spacing w:val="0"/>
                <w:kern w:val="0"/>
                <w:sz w:val="22"/>
                <w:szCs w:val="22"/>
                <w:u w:val="none"/>
                <w:lang w:val="en-US" w:eastAsia="zh-CN" w:bidi="ar"/>
              </w:rPr>
              <w:t>6</w:t>
            </w:r>
          </w:p>
        </w:tc>
        <w:tc>
          <w:tcPr>
            <w:tcW w:w="1382" w:type="dxa"/>
            <w:vMerge w:val="continue"/>
            <w:tcBorders>
              <w:tl2br w:val="nil"/>
              <w:tr2bl w:val="nil"/>
            </w:tcBorders>
            <w:shd w:val="clear" w:color="auto" w:fill="FFFFFF"/>
            <w:noWrap w:val="0"/>
            <w:vAlign w:val="center"/>
          </w:tcPr>
          <w:p w14:paraId="3EE0532A">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u w:val="none"/>
                <w:lang w:val="en-US" w:eastAsia="zh-CN" w:bidi="ar"/>
              </w:rPr>
            </w:pPr>
          </w:p>
        </w:tc>
        <w:tc>
          <w:tcPr>
            <w:tcW w:w="1227" w:type="dxa"/>
            <w:tcBorders>
              <w:tl2br w:val="nil"/>
              <w:tr2bl w:val="nil"/>
            </w:tcBorders>
            <w:shd w:val="clear" w:color="auto" w:fill="FFFFFF"/>
            <w:noWrap w:val="0"/>
            <w:vAlign w:val="center"/>
          </w:tcPr>
          <w:p w14:paraId="5E468DE2">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eastAsia" w:ascii="Times New Roman" w:hAnsi="Times New Roman" w:eastAsia="方正仿宋简体" w:cs="Times New Roman"/>
                <w:i w:val="0"/>
                <w:iCs w:val="0"/>
                <w:color w:val="auto"/>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auto"/>
                <w:spacing w:val="0"/>
                <w:kern w:val="0"/>
                <w:sz w:val="22"/>
                <w:szCs w:val="22"/>
                <w:highlight w:val="none"/>
                <w:u w:val="none"/>
                <w:lang w:val="en-US" w:eastAsia="zh-CN" w:bidi="ar"/>
              </w:rPr>
              <w:t>砂石矿</w:t>
            </w:r>
          </w:p>
          <w:p w14:paraId="4E92D22B">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cs="Times New Roman"/>
                <w:color w:val="auto"/>
                <w:sz w:val="20"/>
                <w:szCs w:val="21"/>
                <w:highlight w:val="none"/>
                <w:lang w:val="en-US" w:eastAsia="zh-CN"/>
              </w:rPr>
            </w:pPr>
            <w:r>
              <w:rPr>
                <w:rFonts w:hint="default" w:ascii="Times New Roman" w:hAnsi="Times New Roman" w:eastAsia="方正仿宋简体" w:cs="Times New Roman"/>
                <w:i w:val="0"/>
                <w:iCs w:val="0"/>
                <w:color w:val="auto"/>
                <w:spacing w:val="0"/>
                <w:kern w:val="0"/>
                <w:sz w:val="22"/>
                <w:szCs w:val="22"/>
                <w:highlight w:val="none"/>
                <w:u w:val="none"/>
                <w:lang w:val="en-US" w:eastAsia="zh-CN" w:bidi="ar"/>
              </w:rPr>
              <w:t>业务员</w:t>
            </w:r>
          </w:p>
        </w:tc>
        <w:tc>
          <w:tcPr>
            <w:tcW w:w="761" w:type="dxa"/>
            <w:tcBorders>
              <w:tl2br w:val="nil"/>
              <w:tr2bl w:val="nil"/>
            </w:tcBorders>
            <w:shd w:val="clear" w:color="auto" w:fill="FFFFFF"/>
            <w:noWrap w:val="0"/>
            <w:vAlign w:val="center"/>
          </w:tcPr>
          <w:p w14:paraId="550C4BA2">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auto"/>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auto"/>
                <w:spacing w:val="0"/>
                <w:kern w:val="0"/>
                <w:sz w:val="22"/>
                <w:szCs w:val="22"/>
                <w:highlight w:val="none"/>
                <w:u w:val="none"/>
                <w:lang w:val="en-US" w:eastAsia="zh-CN" w:bidi="ar"/>
              </w:rPr>
              <w:t>1</w:t>
            </w:r>
          </w:p>
        </w:tc>
        <w:tc>
          <w:tcPr>
            <w:tcW w:w="4350" w:type="dxa"/>
            <w:tcBorders>
              <w:tl2br w:val="nil"/>
              <w:tr2bl w:val="nil"/>
            </w:tcBorders>
            <w:shd w:val="clear" w:color="auto" w:fill="FFFFFF"/>
            <w:noWrap w:val="0"/>
            <w:vAlign w:val="center"/>
          </w:tcPr>
          <w:p w14:paraId="2C14BEF7">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负责砂石矿销售、运营、安全生产等管理工作；负责客户的商谈、合同的签订、账款的核实与回收、供货车辆信息的传达、账单的核实、客户反馈信息的处理等销售具体细节实施；负责公司接待、对外联络、重大活动、各类会议的组织协调及后勤保障工作；完成领导交办的其他工作。</w:t>
            </w:r>
          </w:p>
        </w:tc>
        <w:tc>
          <w:tcPr>
            <w:tcW w:w="4261" w:type="dxa"/>
            <w:tcBorders>
              <w:tl2br w:val="nil"/>
              <w:tr2bl w:val="nil"/>
            </w:tcBorders>
            <w:shd w:val="clear" w:color="auto" w:fill="FFFFFF"/>
            <w:noWrap w:val="0"/>
            <w:vAlign w:val="center"/>
          </w:tcPr>
          <w:p w14:paraId="179E2272">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1.大专及以上学历，年龄45岁以下；</w:t>
            </w:r>
          </w:p>
          <w:p w14:paraId="56829CB6">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2.具有相关工作经历者优先</w:t>
            </w:r>
            <w:r>
              <w:rPr>
                <w:rFonts w:hint="eastAsia"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考虑</w:t>
            </w:r>
            <w:r>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w:t>
            </w:r>
          </w:p>
          <w:p w14:paraId="45236CB5">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color w:val="auto"/>
                <w:spacing w:val="0"/>
                <w:kern w:val="0"/>
                <w:sz w:val="22"/>
                <w:szCs w:val="22"/>
                <w:highlight w:val="none"/>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3.具有良好的政治素养，有较强的沟通协调能力、处理复杂问题和突发事件能力，能够熟练使用办公软件者。</w:t>
            </w:r>
          </w:p>
        </w:tc>
        <w:tc>
          <w:tcPr>
            <w:tcW w:w="2025" w:type="dxa"/>
            <w:tcBorders>
              <w:tl2br w:val="nil"/>
              <w:tr2bl w:val="nil"/>
            </w:tcBorders>
            <w:shd w:val="clear" w:color="auto" w:fill="FFFFFF"/>
            <w:noWrap w:val="0"/>
            <w:vAlign w:val="center"/>
          </w:tcPr>
          <w:p w14:paraId="724850B7">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6万-10万</w:t>
            </w:r>
            <w:bookmarkStart w:id="0" w:name="_GoBack"/>
            <w:bookmarkEnd w:id="0"/>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，缴纳五险一金，提供食宿，享受生日、节日慰问等工会福利。</w:t>
            </w:r>
          </w:p>
        </w:tc>
      </w:tr>
      <w:tr w14:paraId="6E332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 w:hRule="atLeast"/>
        </w:trPr>
        <w:tc>
          <w:tcPr>
            <w:tcW w:w="408" w:type="dxa"/>
            <w:tcBorders>
              <w:tl2br w:val="nil"/>
              <w:tr2bl w:val="nil"/>
            </w:tcBorders>
            <w:shd w:val="clear" w:color="auto" w:fill="FFFFFF"/>
            <w:noWrap w:val="0"/>
            <w:vAlign w:val="center"/>
          </w:tcPr>
          <w:p w14:paraId="6A8E76C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382" w:type="dxa"/>
            <w:tcBorders>
              <w:tl2br w:val="nil"/>
              <w:tr2bl w:val="nil"/>
            </w:tcBorders>
            <w:shd w:val="clear" w:color="auto" w:fill="FFFFFF"/>
            <w:noWrap w:val="0"/>
            <w:vAlign w:val="center"/>
          </w:tcPr>
          <w:p w14:paraId="0AD957F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1227" w:type="dxa"/>
            <w:tcBorders>
              <w:tl2br w:val="nil"/>
              <w:tr2bl w:val="nil"/>
            </w:tcBorders>
            <w:shd w:val="clear" w:color="auto" w:fill="FFFFFF"/>
            <w:noWrap w:val="0"/>
            <w:vAlign w:val="center"/>
          </w:tcPr>
          <w:p w14:paraId="52AA45A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761" w:type="dxa"/>
            <w:tcBorders>
              <w:tl2br w:val="nil"/>
              <w:tr2bl w:val="nil"/>
            </w:tcBorders>
            <w:shd w:val="clear" w:color="auto" w:fill="FFFFFF"/>
            <w:noWrap w:val="0"/>
            <w:vAlign w:val="center"/>
          </w:tcPr>
          <w:p w14:paraId="3BB9D79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350" w:type="dxa"/>
            <w:tcBorders>
              <w:tl2br w:val="nil"/>
              <w:tr2bl w:val="nil"/>
            </w:tcBorders>
            <w:shd w:val="clear" w:color="auto" w:fill="FFFFFF"/>
            <w:noWrap w:val="0"/>
            <w:vAlign w:val="center"/>
          </w:tcPr>
          <w:p w14:paraId="317343C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261" w:type="dxa"/>
            <w:tcBorders>
              <w:tl2br w:val="nil"/>
              <w:tr2bl w:val="nil"/>
            </w:tcBorders>
            <w:shd w:val="clear" w:color="auto" w:fill="FFFFFF"/>
            <w:noWrap w:val="0"/>
            <w:vAlign w:val="center"/>
          </w:tcPr>
          <w:p w14:paraId="72D388C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25" w:type="dxa"/>
            <w:tcBorders>
              <w:tl2br w:val="nil"/>
              <w:tr2bl w:val="nil"/>
            </w:tcBorders>
            <w:shd w:val="clear" w:color="auto" w:fill="FFFFFF"/>
            <w:noWrap w:val="0"/>
            <w:vAlign w:val="center"/>
          </w:tcPr>
          <w:p w14:paraId="1F8D68B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1E515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91" w:hRule="atLeast"/>
        </w:trPr>
        <w:tc>
          <w:tcPr>
            <w:tcW w:w="408" w:type="dxa"/>
            <w:tcBorders>
              <w:tl2br w:val="nil"/>
              <w:tr2bl w:val="nil"/>
            </w:tcBorders>
            <w:shd w:val="clear" w:color="auto" w:fill="FFFFFF"/>
            <w:noWrap w:val="0"/>
            <w:vAlign w:val="center"/>
          </w:tcPr>
          <w:p w14:paraId="17089CAB">
            <w:pPr>
              <w:pStyle w:val="1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2"/>
                <w:szCs w:val="22"/>
                <w:u w:val="none"/>
                <w:lang w:val="en-US" w:eastAsia="zh-CN" w:bidi="ar"/>
              </w:rPr>
            </w:pPr>
            <w:r>
              <w:rPr>
                <w:rFonts w:hint="eastAsia" w:ascii="Times New Roman" w:hAnsi="Times New Roman" w:eastAsia="方正仿宋简体" w:cs="Times New Roman"/>
                <w:b w:val="0"/>
                <w:bCs w:val="0"/>
                <w:i w:val="0"/>
                <w:iCs w:val="0"/>
                <w:color w:val="000000"/>
                <w:spacing w:val="0"/>
                <w:kern w:val="0"/>
                <w:sz w:val="22"/>
                <w:szCs w:val="22"/>
                <w:u w:val="none"/>
                <w:lang w:val="en-US" w:eastAsia="zh-CN" w:bidi="ar"/>
              </w:rPr>
              <w:t>7</w:t>
            </w:r>
          </w:p>
        </w:tc>
        <w:tc>
          <w:tcPr>
            <w:tcW w:w="1382" w:type="dxa"/>
            <w:tcBorders>
              <w:tl2br w:val="nil"/>
              <w:tr2bl w:val="nil"/>
            </w:tcBorders>
            <w:shd w:val="clear" w:color="auto" w:fill="FFFFFF"/>
            <w:noWrap w:val="0"/>
            <w:vAlign w:val="center"/>
          </w:tcPr>
          <w:p w14:paraId="36B86CEF">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油气站</w:t>
            </w:r>
          </w:p>
          <w:p w14:paraId="6E0154F8">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业务板块</w:t>
            </w:r>
          </w:p>
        </w:tc>
        <w:tc>
          <w:tcPr>
            <w:tcW w:w="1227" w:type="dxa"/>
            <w:tcBorders>
              <w:tl2br w:val="nil"/>
              <w:tr2bl w:val="nil"/>
            </w:tcBorders>
            <w:shd w:val="clear" w:color="auto" w:fill="FFFFFF"/>
            <w:noWrap w:val="0"/>
            <w:vAlign w:val="center"/>
          </w:tcPr>
          <w:p w14:paraId="10E791D4">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eastAsia" w:ascii="Times New Roman" w:hAnsi="Times New Roman" w:eastAsia="方正仿宋简体" w:cs="Times New Roman"/>
                <w:i w:val="0"/>
                <w:iCs w:val="0"/>
                <w:color w:val="000000"/>
                <w:spacing w:val="0"/>
                <w:kern w:val="0"/>
                <w:sz w:val="22"/>
                <w:szCs w:val="22"/>
                <w:u w:val="none"/>
                <w:lang w:val="en-US" w:eastAsia="zh-CN" w:bidi="ar"/>
              </w:rPr>
            </w:pPr>
            <w:r>
              <w:rPr>
                <w:rFonts w:hint="eastAsia" w:ascii="Times New Roman" w:hAnsi="Times New Roman" w:eastAsia="方正仿宋简体" w:cs="Times New Roman"/>
                <w:i w:val="0"/>
                <w:iCs w:val="0"/>
                <w:color w:val="000000"/>
                <w:spacing w:val="0"/>
                <w:kern w:val="0"/>
                <w:sz w:val="22"/>
                <w:szCs w:val="22"/>
                <w:u w:val="none"/>
                <w:lang w:val="en-US" w:eastAsia="zh-CN" w:bidi="ar"/>
              </w:rPr>
              <w:t>油气站</w:t>
            </w:r>
          </w:p>
          <w:p w14:paraId="4C77DEDB">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cs="Times New Roman"/>
                <w:sz w:val="20"/>
                <w:szCs w:val="21"/>
                <w:lang w:val="en-US" w:eastAsia="zh-CN"/>
              </w:rPr>
            </w:pPr>
            <w:r>
              <w:rPr>
                <w:rFonts w:hint="default" w:ascii="Times New Roman" w:hAnsi="Times New Roman" w:eastAsia="方正仿宋简体" w:cs="Times New Roman"/>
                <w:i w:val="0"/>
                <w:iCs w:val="0"/>
                <w:color w:val="000000"/>
                <w:spacing w:val="0"/>
                <w:kern w:val="0"/>
                <w:sz w:val="22"/>
                <w:szCs w:val="22"/>
                <w:u w:val="none"/>
                <w:lang w:val="en-US" w:eastAsia="zh-CN" w:bidi="ar"/>
              </w:rPr>
              <w:t>副站长</w:t>
            </w:r>
          </w:p>
        </w:tc>
        <w:tc>
          <w:tcPr>
            <w:tcW w:w="761" w:type="dxa"/>
            <w:tcBorders>
              <w:tl2br w:val="nil"/>
              <w:tr2bl w:val="nil"/>
            </w:tcBorders>
            <w:shd w:val="clear" w:color="auto" w:fill="FFFFFF"/>
            <w:noWrap w:val="0"/>
            <w:vAlign w:val="center"/>
          </w:tcPr>
          <w:p w14:paraId="62B9AB23">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1</w:t>
            </w:r>
          </w:p>
        </w:tc>
        <w:tc>
          <w:tcPr>
            <w:tcW w:w="4350" w:type="dxa"/>
            <w:tcBorders>
              <w:tl2br w:val="nil"/>
              <w:tr2bl w:val="nil"/>
            </w:tcBorders>
            <w:shd w:val="clear" w:color="auto" w:fill="FFFFFF"/>
            <w:noWrap w:val="0"/>
            <w:vAlign w:val="center"/>
          </w:tcPr>
          <w:p w14:paraId="1B99D92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480" w:firstLineChars="200"/>
              <w:textAlignment w:val="auto"/>
              <w:rPr>
                <w:rFonts w:hint="default" w:ascii="Times New Roman" w:hAnsi="Times New Roman" w:eastAsia="方正仿宋简体" w:cs="Times New Roman"/>
                <w:i w:val="0"/>
                <w:color w:val="000000"/>
                <w:spacing w:val="0"/>
                <w:kern w:val="0"/>
                <w:sz w:val="21"/>
                <w:szCs w:val="21"/>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负责本站安全、环保、治安保卫工作培训教育活动；负责上级部门和政府管理部门排查出的隐患整改落实工作；负责组织开展本站各类安全、环保、治安保卫活动；负责本站危险作业的管理，现场检查；负责加气站的日、月进销存天然气及柴油盘点；负责每月月底大客户对账，出具对账函，交由财务做账；完成公司及部门领导交办的其他工作。</w:t>
            </w:r>
          </w:p>
        </w:tc>
        <w:tc>
          <w:tcPr>
            <w:tcW w:w="4261" w:type="dxa"/>
            <w:tcBorders>
              <w:tl2br w:val="nil"/>
              <w:tr2bl w:val="nil"/>
            </w:tcBorders>
            <w:shd w:val="clear" w:color="auto" w:fill="FFFFFF"/>
            <w:noWrap w:val="0"/>
            <w:vAlign w:val="center"/>
          </w:tcPr>
          <w:p w14:paraId="3C10F7F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1.大专及以上学历，年龄45岁以下；</w:t>
            </w:r>
          </w:p>
          <w:p w14:paraId="1277B88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2.具有</w:t>
            </w:r>
            <w:r>
              <w:rPr>
                <w:rFonts w:hint="eastAsia"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2</w:t>
            </w: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年以上加油/加气站安全管理经验</w:t>
            </w:r>
            <w:r>
              <w:rPr>
                <w:rFonts w:hint="eastAsia"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w:t>
            </w:r>
          </w:p>
          <w:p w14:paraId="5971C5C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3.具有特种设备管理证者优先考虑；</w:t>
            </w:r>
          </w:p>
          <w:p w14:paraId="03D4816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both"/>
              <w:textAlignment w:val="auto"/>
              <w:rPr>
                <w:rFonts w:hint="default" w:ascii="Times New Roman" w:hAnsi="Times New Roman" w:eastAsia="方正仿宋简体" w:cs="Times New Roman"/>
                <w:i w:val="0"/>
                <w:iCs w:val="0"/>
                <w:caps w:val="0"/>
                <w:color w:val="auto"/>
                <w:spacing w:val="0"/>
                <w:kern w:val="2"/>
                <w:sz w:val="21"/>
                <w:szCs w:val="21"/>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4.若条件特别优秀人员，以上要求可适当放宽</w:t>
            </w:r>
            <w:r>
              <w:rPr>
                <w:rFonts w:hint="eastAsia"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w:t>
            </w:r>
          </w:p>
        </w:tc>
        <w:tc>
          <w:tcPr>
            <w:tcW w:w="2025" w:type="dxa"/>
            <w:tcBorders>
              <w:tl2br w:val="nil"/>
              <w:tr2bl w:val="nil"/>
            </w:tcBorders>
            <w:shd w:val="clear" w:color="auto" w:fill="FFFFFF"/>
            <w:noWrap w:val="0"/>
            <w:vAlign w:val="center"/>
          </w:tcPr>
          <w:p w14:paraId="3627A8E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both"/>
              <w:textAlignment w:val="auto"/>
              <w:rPr>
                <w:rFonts w:hint="default" w:ascii="Times New Roman" w:hAnsi="Times New Roman" w:eastAsia="方正仿宋简体" w:cs="Times New Roman"/>
                <w:i w:val="0"/>
                <w:iCs w:val="0"/>
                <w:caps w:val="0"/>
                <w:color w:val="auto"/>
                <w:spacing w:val="0"/>
                <w:kern w:val="2"/>
                <w:sz w:val="21"/>
                <w:szCs w:val="21"/>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11万+，缴纳五险一金，提供食宿，享受生日、节日慰问等工会福利。</w:t>
            </w:r>
          </w:p>
        </w:tc>
      </w:tr>
      <w:tr w14:paraId="7AF07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7" w:hRule="atLeast"/>
        </w:trPr>
        <w:tc>
          <w:tcPr>
            <w:tcW w:w="408" w:type="dxa"/>
            <w:tcBorders>
              <w:tl2br w:val="nil"/>
              <w:tr2bl w:val="nil"/>
            </w:tcBorders>
            <w:shd w:val="clear" w:color="auto" w:fill="FFFFFF"/>
            <w:noWrap w:val="0"/>
            <w:vAlign w:val="center"/>
          </w:tcPr>
          <w:p w14:paraId="7F21BE04">
            <w:pPr>
              <w:pStyle w:val="1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2"/>
                <w:szCs w:val="22"/>
                <w:u w:val="none"/>
                <w:lang w:val="en-US" w:eastAsia="zh-CN" w:bidi="ar"/>
              </w:rPr>
            </w:pPr>
            <w:r>
              <w:rPr>
                <w:rFonts w:hint="eastAsia" w:ascii="Times New Roman" w:hAnsi="Times New Roman" w:eastAsia="方正仿宋简体" w:cs="Times New Roman"/>
                <w:b w:val="0"/>
                <w:bCs w:val="0"/>
                <w:i w:val="0"/>
                <w:iCs w:val="0"/>
                <w:color w:val="000000"/>
                <w:spacing w:val="0"/>
                <w:kern w:val="0"/>
                <w:sz w:val="22"/>
                <w:szCs w:val="22"/>
                <w:u w:val="none"/>
                <w:lang w:val="en-US" w:eastAsia="zh-CN" w:bidi="ar"/>
              </w:rPr>
              <w:t>8</w:t>
            </w:r>
          </w:p>
        </w:tc>
        <w:tc>
          <w:tcPr>
            <w:tcW w:w="1382" w:type="dxa"/>
            <w:tcBorders>
              <w:tl2br w:val="nil"/>
              <w:tr2bl w:val="nil"/>
            </w:tcBorders>
            <w:shd w:val="clear" w:color="auto" w:fill="FFFFFF"/>
            <w:noWrap w:val="0"/>
            <w:vAlign w:val="center"/>
          </w:tcPr>
          <w:p w14:paraId="30F3B627">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资产运营</w:t>
            </w:r>
            <w:r>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t>板块</w:t>
            </w:r>
          </w:p>
        </w:tc>
        <w:tc>
          <w:tcPr>
            <w:tcW w:w="1227" w:type="dxa"/>
            <w:tcBorders>
              <w:tl2br w:val="nil"/>
              <w:tr2bl w:val="nil"/>
            </w:tcBorders>
            <w:shd w:val="clear" w:color="auto" w:fill="FFFFFF"/>
            <w:noWrap w:val="0"/>
            <w:vAlign w:val="center"/>
          </w:tcPr>
          <w:p w14:paraId="491A94A5">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both"/>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p>
          <w:p w14:paraId="78006138">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酒店</w:t>
            </w:r>
            <w:r>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t>会计</w:t>
            </w:r>
          </w:p>
        </w:tc>
        <w:tc>
          <w:tcPr>
            <w:tcW w:w="761" w:type="dxa"/>
            <w:tcBorders>
              <w:tl2br w:val="nil"/>
              <w:tr2bl w:val="nil"/>
            </w:tcBorders>
            <w:shd w:val="clear" w:color="auto" w:fill="FFFFFF"/>
            <w:noWrap w:val="0"/>
            <w:vAlign w:val="center"/>
          </w:tcPr>
          <w:p w14:paraId="5A383875">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1</w:t>
            </w:r>
          </w:p>
        </w:tc>
        <w:tc>
          <w:tcPr>
            <w:tcW w:w="4350" w:type="dxa"/>
            <w:tcBorders>
              <w:tl2br w:val="nil"/>
              <w:tr2bl w:val="nil"/>
            </w:tcBorders>
            <w:shd w:val="clear" w:color="auto" w:fill="FFFFFF"/>
            <w:noWrap w:val="0"/>
            <w:vAlign w:val="center"/>
          </w:tcPr>
          <w:p w14:paraId="424180A3">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480" w:firstLineChars="200"/>
              <w:jc w:val="both"/>
              <w:textAlignment w:val="auto"/>
              <w:rPr>
                <w:rFonts w:hint="default" w:ascii="Times New Roman" w:hAnsi="Times New Roman" w:eastAsia="方正仿宋简体" w:cs="Times New Roman"/>
                <w:i w:val="0"/>
                <w:color w:val="000000"/>
                <w:spacing w:val="0"/>
                <w:kern w:val="0"/>
                <w:sz w:val="21"/>
                <w:szCs w:val="21"/>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负责酒店的日常会计工作，包括但不限于记账、凭证编制、报表编制等；负责酒店的财务管理和成本控制，提出合理的财务建议和措施；负责酒店的税务申报和审计工作，确保公司财务合规；协助其他部门进行财务相关的沟通和协调工作；完成公司及部门领导交办的其他工作。</w:t>
            </w:r>
          </w:p>
        </w:tc>
        <w:tc>
          <w:tcPr>
            <w:tcW w:w="4261" w:type="dxa"/>
            <w:tcBorders>
              <w:tl2br w:val="nil"/>
              <w:tr2bl w:val="nil"/>
            </w:tcBorders>
            <w:shd w:val="clear" w:color="auto" w:fill="FFFFFF"/>
            <w:noWrap w:val="0"/>
            <w:vAlign w:val="center"/>
          </w:tcPr>
          <w:p w14:paraId="056CCD9C">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1.大专及以上学历，年龄40岁以下，会计、财务等相关专业，具有初级会计职称证书；</w:t>
            </w:r>
          </w:p>
          <w:p w14:paraId="7EB84814">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2.具有3年以上酒店或相关领域会计工作经验；</w:t>
            </w:r>
          </w:p>
          <w:p w14:paraId="077F6A1A">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3.熟悉国家财务、税务等相关法律法规；</w:t>
            </w:r>
          </w:p>
          <w:p w14:paraId="18EA1830">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4.熟练使用财务软件和办公软件；</w:t>
            </w:r>
          </w:p>
          <w:p w14:paraId="45E8C3B2">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color w:val="000000"/>
                <w:spacing w:val="0"/>
                <w:kern w:val="0"/>
                <w:sz w:val="21"/>
                <w:szCs w:val="21"/>
                <w:highlight w:val="none"/>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5.具备良好的沟通能力、团队协作能力和解决问题的能力</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p>
        </w:tc>
        <w:tc>
          <w:tcPr>
            <w:tcW w:w="2025" w:type="dxa"/>
            <w:tcBorders>
              <w:tl2br w:val="nil"/>
              <w:tr2bl w:val="nil"/>
            </w:tcBorders>
            <w:shd w:val="clear" w:color="auto" w:fill="FFFFFF"/>
            <w:noWrap w:val="0"/>
            <w:vAlign w:val="center"/>
          </w:tcPr>
          <w:p w14:paraId="67A6F48C">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1"/>
                <w:szCs w:val="21"/>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8万-12万，缴纳五险一金，提供食宿，享受生日、节日慰问等工会福利。</w:t>
            </w:r>
          </w:p>
        </w:tc>
      </w:tr>
    </w:tbl>
    <w:p w14:paraId="545585BB">
      <w:pPr>
        <w:pStyle w:val="11"/>
        <w:keepNext w:val="0"/>
        <w:keepLines w:val="0"/>
        <w:pageBreakBefore w:val="0"/>
        <w:widowControl w:val="0"/>
        <w:shd w:val="clear" w:color="auto" w:fill="auto"/>
        <w:kinsoku/>
        <w:wordWrap/>
        <w:overflowPunct/>
        <w:topLinePunct w:val="0"/>
        <w:bidi w:val="0"/>
        <w:spacing w:before="0" w:line="240" w:lineRule="auto"/>
        <w:ind w:left="0" w:leftChars="0" w:right="0" w:firstLine="0"/>
        <w:jc w:val="both"/>
        <w:rPr>
          <w:rFonts w:hint="default" w:ascii="Times New Roman" w:hAnsi="Times New Roman" w:eastAsia="方正仿宋简体" w:cs="Times New Roman"/>
          <w:color w:val="000000"/>
          <w:spacing w:val="0"/>
          <w:w w:val="100"/>
          <w:position w:val="0"/>
          <w:sz w:val="32"/>
          <w:szCs w:val="32"/>
          <w:highlight w:val="none"/>
          <w:lang w:eastAsia="zh-CN"/>
        </w:rPr>
        <w:sectPr>
          <w:headerReference r:id="rId3" w:type="default"/>
          <w:footerReference r:id="rId5" w:type="default"/>
          <w:headerReference r:id="rId4" w:type="even"/>
          <w:footerReference r:id="rId6" w:type="even"/>
          <w:footnotePr>
            <w:numFmt w:val="decimal"/>
          </w:footnotePr>
          <w:pgSz w:w="16838" w:h="11900" w:orient="landscape"/>
          <w:pgMar w:top="1548" w:right="1922" w:bottom="1349" w:left="2041" w:header="1491" w:footer="6" w:gutter="0"/>
          <w:pgNumType w:fmt="decimal"/>
          <w:cols w:space="0" w:num="1"/>
          <w:rtlGutter w:val="0"/>
          <w:docGrid w:linePitch="360" w:charSpace="0"/>
        </w:sectPr>
      </w:pPr>
    </w:p>
    <w:p w14:paraId="48B28137"/>
    <w:sectPr>
      <w:headerReference r:id="rId7" w:type="default"/>
      <w:footerReference r:id="rId9" w:type="default"/>
      <w:headerReference r:id="rId8" w:type="even"/>
      <w:footerReference r:id="rId10" w:type="even"/>
      <w:pgSz w:w="16840" w:h="11910" w:orient="landscape"/>
      <w:pgMar w:top="1587" w:right="2098" w:bottom="1474" w:left="1984" w:header="0"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DB01DB-0356-4A27-8BF2-3E0D4D41D6E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F3444BE-B576-49EF-935D-A4211FC214D8}"/>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DA12B637-37F4-4631-83AB-42136E0335DF}"/>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D37D">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104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6166485</wp:posOffset>
              </wp:positionH>
              <wp:positionV relativeFrom="page">
                <wp:posOffset>9937750</wp:posOffset>
              </wp:positionV>
              <wp:extent cx="521335" cy="128270"/>
              <wp:effectExtent l="0" t="0" r="0" b="0"/>
              <wp:wrapNone/>
              <wp:docPr id="24" name="Shape 24"/>
              <wp:cNvGraphicFramePr/>
              <a:graphic xmlns:a="http://schemas.openxmlformats.org/drawingml/2006/main">
                <a:graphicData uri="http://schemas.microsoft.com/office/word/2010/wordprocessingShape">
                  <wps:wsp>
                    <wps:cNvSpPr txBox="1"/>
                    <wps:spPr>
                      <a:xfrm>
                        <a:off x="0" y="0"/>
                        <a:ext cx="521335" cy="128270"/>
                      </a:xfrm>
                      <a:prstGeom prst="rect">
                        <a:avLst/>
                      </a:prstGeom>
                      <a:noFill/>
                    </wps:spPr>
                    <wps:txbx>
                      <w:txbxContent>
                        <w:p w14:paraId="550D9E66">
                          <w:pPr>
                            <w:pStyle w:val="1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wps:txbx>
                    <wps:bodyPr wrap="none" lIns="0" tIns="0" rIns="0" bIns="0">
                      <a:spAutoFit/>
                    </wps:bodyPr>
                  </wps:wsp>
                </a:graphicData>
              </a:graphic>
            </wp:anchor>
          </w:drawing>
        </mc:Choice>
        <mc:Fallback>
          <w:pict>
            <v:shape id="Shape 24" o:spid="_x0000_s1026" o:spt="202" type="#_x0000_t202" style="position:absolute;left:0pt;margin-left:485.55pt;margin-top:782.5pt;height:10.1pt;width:41.05pt;mso-position-horizontal-relative:page;mso-position-vertical-relative:page;mso-wrap-style:none;z-index:-251657216;mso-width-relative:page;mso-height-relative:page;" filled="f" stroked="f" coordsize="21600,21600" o:gfxdata="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M5a2&#10;2AAAAA4BAAAPAAAAAAAAAAEAIAAAACIAAABkcnMvZG93bnJldi54bWxQSwECFAAUAAAACACHTuJA&#10;9latga8BAABxAwAADgAAAAAAAAABACAAAAAnAQAAZHJzL2Uyb0RvYy54bWxQSwUGAAAAAAYABgBZ&#10;AQAASAUAAAAA&#10;">
              <v:fill on="f" focussize="0,0"/>
              <v:stroke on="f"/>
              <v:imagedata o:title=""/>
              <o:lock v:ext="edit" aspectratio="f"/>
              <v:textbox inset="0mm,0mm,0mm,0mm" style="mso-fit-shape-to-text:t;">
                <w:txbxContent>
                  <w:p w14:paraId="550D9E66">
                    <w:pPr>
                      <w:pStyle w:val="1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DAC3">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42F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9919970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1E810">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Times New Roman"/>
                              <w:sz w:val="28"/>
                              <w:szCs w:val="32"/>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1.1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Kbuy1gAAAAo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0F41E810">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Times New Roman"/>
                        <w:sz w:val="28"/>
                        <w:szCs w:val="32"/>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7796">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B229">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1F0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8DA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mNmYTNiZWFkMWQwZmVkNDg0OGU2NzBiNGNkZDIifQ=="/>
  </w:docVars>
  <w:rsids>
    <w:rsidRoot w:val="746A54ED"/>
    <w:rsid w:val="00541FEF"/>
    <w:rsid w:val="0852432C"/>
    <w:rsid w:val="0C6B2E3D"/>
    <w:rsid w:val="0D9955DD"/>
    <w:rsid w:val="0EA224A6"/>
    <w:rsid w:val="0FCA1E16"/>
    <w:rsid w:val="106609AF"/>
    <w:rsid w:val="12764322"/>
    <w:rsid w:val="12A63C33"/>
    <w:rsid w:val="12ED5CBA"/>
    <w:rsid w:val="132F5C6A"/>
    <w:rsid w:val="1AE479A7"/>
    <w:rsid w:val="1B73080D"/>
    <w:rsid w:val="20D44015"/>
    <w:rsid w:val="24917947"/>
    <w:rsid w:val="25F04A2D"/>
    <w:rsid w:val="289E1538"/>
    <w:rsid w:val="2958477F"/>
    <w:rsid w:val="29E41707"/>
    <w:rsid w:val="2A1B001C"/>
    <w:rsid w:val="2CF23C75"/>
    <w:rsid w:val="2F403318"/>
    <w:rsid w:val="39837BF0"/>
    <w:rsid w:val="418D4040"/>
    <w:rsid w:val="41CE7BC7"/>
    <w:rsid w:val="438431F8"/>
    <w:rsid w:val="446111AD"/>
    <w:rsid w:val="4C2C2BA5"/>
    <w:rsid w:val="52963351"/>
    <w:rsid w:val="533B7DA0"/>
    <w:rsid w:val="5BCC3312"/>
    <w:rsid w:val="621E3396"/>
    <w:rsid w:val="64700B93"/>
    <w:rsid w:val="664C48EB"/>
    <w:rsid w:val="6DCA78FF"/>
    <w:rsid w:val="6FEE03BF"/>
    <w:rsid w:val="70F64AD4"/>
    <w:rsid w:val="746A54ED"/>
    <w:rsid w:val="78B1598E"/>
    <w:rsid w:val="7C71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autoRedefine/>
    <w:semiHidden/>
    <w:unhideWhenUsed/>
    <w:qFormat/>
    <w:uiPriority w:val="99"/>
    <w:pPr>
      <w:spacing w:after="120"/>
      <w:ind w:left="420" w:leftChars="200"/>
    </w:pPr>
  </w:style>
  <w:style w:type="paragraph" w:styleId="4">
    <w:name w:val="Body Text"/>
    <w:basedOn w:val="1"/>
    <w:next w:val="5"/>
    <w:autoRedefine/>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5">
    <w:name w:val="Body Text 2"/>
    <w:basedOn w:val="1"/>
    <w:autoRedefine/>
    <w:qFormat/>
    <w:uiPriority w:val="0"/>
    <w:pPr>
      <w:jc w:val="left"/>
    </w:pPr>
    <w:rPr>
      <w:rFonts w:ascii="仿宋_GB2312" w:hAnsi="宋体" w:eastAsia="仿宋_GB2312"/>
    </w:rPr>
  </w:style>
  <w:style w:type="paragraph" w:styleId="6">
    <w:name w:val="footer"/>
    <w:basedOn w:val="1"/>
    <w:autoRedefine/>
    <w:semiHidden/>
    <w:unhideWhenUsed/>
    <w:qFormat/>
    <w:uiPriority w:val="99"/>
    <w:pPr>
      <w:tabs>
        <w:tab w:val="center" w:pos="4153"/>
        <w:tab w:val="right" w:pos="8306"/>
      </w:tabs>
      <w:snapToGrid w:val="0"/>
      <w:jc w:val="left"/>
    </w:pPr>
    <w:rPr>
      <w:sz w:val="18"/>
      <w:szCs w:val="18"/>
    </w:rPr>
  </w:style>
  <w:style w:type="paragraph" w:styleId="7">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next w:val="2"/>
    <w:qFormat/>
    <w:uiPriority w:val="0"/>
  </w:style>
  <w:style w:type="paragraph" w:customStyle="1" w:styleId="11">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BodyText1I2"/>
    <w:basedOn w:val="13"/>
    <w:autoRedefine/>
    <w:qFormat/>
    <w:uiPriority w:val="0"/>
    <w:pPr>
      <w:ind w:firstLine="420" w:firstLineChars="200"/>
    </w:pPr>
  </w:style>
  <w:style w:type="paragraph" w:customStyle="1" w:styleId="13">
    <w:name w:val="BodyTextIndent"/>
    <w:basedOn w:val="1"/>
    <w:autoRedefine/>
    <w:qFormat/>
    <w:uiPriority w:val="0"/>
    <w:pPr>
      <w:spacing w:after="120"/>
      <w:ind w:left="420" w:leftChars="200"/>
      <w:textAlignment w:val="baseline"/>
    </w:pPr>
  </w:style>
  <w:style w:type="paragraph" w:customStyle="1" w:styleId="14">
    <w:name w:val="Heading #3|1"/>
    <w:basedOn w:val="1"/>
    <w:autoRedefine/>
    <w:qFormat/>
    <w:uiPriority w:val="0"/>
    <w:pPr>
      <w:widowControl w:val="0"/>
      <w:shd w:val="clear" w:color="auto" w:fill="auto"/>
      <w:spacing w:after="280"/>
      <w:jc w:val="center"/>
      <w:outlineLvl w:val="2"/>
    </w:pPr>
    <w:rPr>
      <w:rFonts w:ascii="宋体" w:hAnsi="宋体" w:eastAsia="宋体" w:cs="宋体"/>
      <w:sz w:val="34"/>
      <w:szCs w:val="34"/>
      <w:u w:val="none"/>
      <w:shd w:val="clear" w:color="auto" w:fill="auto"/>
      <w:lang w:val="zh-TW" w:eastAsia="zh-TW" w:bidi="zh-TW"/>
    </w:rPr>
  </w:style>
  <w:style w:type="paragraph" w:customStyle="1" w:styleId="15">
    <w:name w:val="Other|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Body text|2"/>
    <w:basedOn w:val="1"/>
    <w:autoRedefine/>
    <w:qFormat/>
    <w:uiPriority w:val="0"/>
    <w:pPr>
      <w:widowControl w:val="0"/>
      <w:shd w:val="clear" w:color="auto" w:fill="auto"/>
      <w:ind w:firstLine="130"/>
    </w:pPr>
    <w:rPr>
      <w:rFonts w:ascii="宋体" w:hAnsi="宋体" w:eastAsia="宋体" w:cs="宋体"/>
      <w:sz w:val="20"/>
      <w:szCs w:val="20"/>
      <w:u w:val="none"/>
      <w:shd w:val="clear" w:color="auto" w:fill="auto"/>
      <w:lang w:val="zh-TW" w:eastAsia="zh-TW" w:bidi="zh-TW"/>
    </w:rPr>
  </w:style>
  <w:style w:type="paragraph" w:customStyle="1" w:styleId="17">
    <w:name w:val="Heading #4|1"/>
    <w:basedOn w:val="1"/>
    <w:autoRedefine/>
    <w:qFormat/>
    <w:uiPriority w:val="0"/>
    <w:pPr>
      <w:widowControl w:val="0"/>
      <w:shd w:val="clear" w:color="auto" w:fill="auto"/>
      <w:spacing w:after="140"/>
      <w:outlineLvl w:val="3"/>
    </w:pPr>
    <w:rPr>
      <w:rFonts w:ascii="宋体" w:hAnsi="宋体" w:eastAsia="宋体" w:cs="宋体"/>
      <w:sz w:val="30"/>
      <w:szCs w:val="30"/>
      <w:u w:val="none"/>
      <w:shd w:val="clear" w:color="auto" w:fill="auto"/>
      <w:lang w:val="zh-TW" w:eastAsia="zh-TW" w:bidi="zh-TW"/>
    </w:rPr>
  </w:style>
  <w:style w:type="paragraph" w:customStyle="1" w:styleId="18">
    <w:name w:val="Header or footer|1"/>
    <w:basedOn w:val="1"/>
    <w:autoRedefine/>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2302</Words>
  <Characters>2367</Characters>
  <Lines>0</Lines>
  <Paragraphs>0</Paragraphs>
  <TotalTime>0</TotalTime>
  <ScaleCrop>false</ScaleCrop>
  <LinksUpToDate>false</LinksUpToDate>
  <CharactersWithSpaces>2367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2023-09-04T04:21:00Z</dcterms:created>
  <dc:creator>lenovo</dc:creator>
  <cp:lastModifiedBy>兜兜</cp:lastModifiedBy>
  <dcterms:modified xsi:type="dcterms:W3CDTF">2024-08-15T04:18:44Z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7B72847EDB7A47E4B83CF73C51435A31_13</vt:lpwstr>
  </property>
</Properties>
</file>