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560" w:lineRule="exact"/>
        <w:jc w:val="both"/>
        <w:rPr>
          <w:rStyle w:val="8"/>
          <w:rFonts w:hint="default" w:ascii="Times New Roman" w:hAnsi="Times New Roman" w:eastAsia="黑体" w:cs="Times New Roman"/>
          <w:b w:val="0"/>
          <w:color w:val="auto"/>
          <w:kern w:val="0"/>
          <w:sz w:val="28"/>
          <w:szCs w:val="28"/>
          <w:highlight w:val="none"/>
          <w:shd w:val="clear" w:color="auto" w:fill="FFFFFF"/>
          <w:lang w:val="en-US" w:eastAsia="zh-CN" w:bidi="ar"/>
        </w:rPr>
      </w:pPr>
      <w:r>
        <w:rPr>
          <w:rStyle w:val="8"/>
          <w:rFonts w:hint="default" w:ascii="Times New Roman" w:hAnsi="Times New Roman" w:eastAsia="黑体" w:cs="Times New Roman"/>
          <w:b w:val="0"/>
          <w:color w:val="auto"/>
          <w:kern w:val="0"/>
          <w:sz w:val="28"/>
          <w:szCs w:val="28"/>
          <w:highlight w:val="none"/>
          <w:shd w:val="clear" w:color="auto" w:fill="FFFFFF"/>
          <w:lang w:val="en-US" w:eastAsia="zh-CN" w:bidi="ar"/>
        </w:rPr>
        <w:t>附件1:</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Style w:val="8"/>
          <w:rFonts w:hint="default" w:ascii="Times New Roman" w:hAnsi="Times New Roman" w:eastAsia="黑体" w:cs="Times New Roman"/>
          <w:b w:val="0"/>
          <w:color w:val="auto"/>
          <w:sz w:val="28"/>
          <w:szCs w:val="28"/>
          <w:highlight w:val="none"/>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共青城市总医院人民医院2024年合同制专业技术人员招考职位表</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tbl>
      <w:tblPr>
        <w:tblStyle w:val="6"/>
        <w:tblW w:w="14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1325"/>
        <w:gridCol w:w="1038"/>
        <w:gridCol w:w="1116"/>
        <w:gridCol w:w="1059"/>
        <w:gridCol w:w="1230"/>
        <w:gridCol w:w="1545"/>
        <w:gridCol w:w="2325"/>
        <w:gridCol w:w="885"/>
        <w:gridCol w:w="870"/>
        <w:gridCol w:w="1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序号</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单位名称</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职位(岗位)名称</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计划招聘人数</w:t>
            </w:r>
          </w:p>
        </w:tc>
        <w:tc>
          <w:tcPr>
            <w:tcW w:w="6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资格条件</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是否笔试</w:t>
            </w:r>
          </w:p>
        </w:tc>
        <w:tc>
          <w:tcPr>
            <w:tcW w:w="8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i w:val="0"/>
                <w:iCs w:val="0"/>
                <w:color w:val="auto"/>
                <w:kern w:val="0"/>
                <w:sz w:val="24"/>
                <w:szCs w:val="24"/>
                <w:highlight w:val="none"/>
                <w:u w:val="none"/>
                <w:lang w:val="en-US" w:eastAsia="zh-CN" w:bidi="ar"/>
              </w:rPr>
            </w:pPr>
            <w:r>
              <w:rPr>
                <w:rFonts w:hint="eastAsia" w:ascii="Times New Roman" w:hAnsi="Times New Roman" w:eastAsia="黑体" w:cs="黑体"/>
                <w:i w:val="0"/>
                <w:iCs w:val="0"/>
                <w:color w:val="auto"/>
                <w:kern w:val="0"/>
                <w:sz w:val="24"/>
                <w:szCs w:val="24"/>
                <w:highlight w:val="none"/>
                <w:u w:val="none"/>
                <w:lang w:val="en-US" w:eastAsia="zh-CN" w:bidi="ar"/>
              </w:rPr>
              <w:t>是否面试</w:t>
            </w:r>
          </w:p>
        </w:tc>
        <w:tc>
          <w:tcPr>
            <w:tcW w:w="1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黑体" w:cs="黑体"/>
                <w:i w:val="0"/>
                <w:iCs w:val="0"/>
                <w:color w:val="auto"/>
                <w:kern w:val="0"/>
                <w:sz w:val="24"/>
                <w:szCs w:val="24"/>
                <w:highlight w:val="none"/>
                <w:u w:val="none"/>
                <w:lang w:val="en-US" w:eastAsia="zh-CN" w:bidi="ar"/>
              </w:rPr>
            </w:pPr>
            <w:r>
              <w:rPr>
                <w:rFonts w:hint="eastAsia" w:ascii="Times New Roman" w:hAnsi="Times New Roman" w:eastAsia="黑体" w:cs="黑体"/>
                <w:i w:val="0"/>
                <w:iCs w:val="0"/>
                <w:color w:val="auto"/>
                <w:kern w:val="0"/>
                <w:sz w:val="24"/>
                <w:szCs w:val="24"/>
                <w:highlight w:val="none"/>
                <w:u w:val="none"/>
                <w:lang w:val="en-US" w:eastAsia="zh-CN" w:bidi="ar"/>
              </w:rPr>
              <w:t>薪资待遇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学历（学位）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年龄     (周岁)</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i w:val="0"/>
                <w:iCs w:val="0"/>
                <w:color w:val="auto"/>
                <w:kern w:val="0"/>
                <w:sz w:val="24"/>
                <w:szCs w:val="24"/>
                <w:highlight w:val="none"/>
                <w:u w:val="none"/>
                <w:lang w:val="en-US" w:eastAsia="zh-CN" w:bidi="ar"/>
              </w:rPr>
              <w:t>其他条件</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8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病区</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护士</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护理学专业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30周岁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护士资格证书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妇产科</w:t>
            </w:r>
          </w:p>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rPr>
              <w:t>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且执业范围为妇产科专业</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内科</w:t>
            </w:r>
          </w:p>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rPr>
              <w:t>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外科</w:t>
            </w:r>
          </w:p>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口腔科医师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000000"/>
                <w:kern w:val="0"/>
                <w:sz w:val="24"/>
                <w:szCs w:val="24"/>
              </w:rPr>
              <w:t>口腔医学专业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全日制本科及以上学历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具有执业医师资格者年龄在35周岁及以下，不具有执业医师资格者年龄在25周岁及以下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不具有执业医师资格者，给予2次考取资格机会，未通过者即给予解除劳动合同关系。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病理科医师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临床医学（病理方向）专业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全日制大专及以上学历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具有执业医师资格者年龄在35周岁及以下，不具有执业医师资格者年龄在25周岁及以下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不具有执业（助理）医师资格者，给予2次考取资格机会，未通过者即给予解除劳动合同关系。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医学</w:t>
            </w:r>
          </w:p>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影像科</w:t>
            </w:r>
          </w:p>
          <w:p>
            <w:pPr>
              <w:keepNext w:val="0"/>
              <w:keepLines w:val="0"/>
              <w:pageBreakBefore w:val="0"/>
              <w:widowControl w:val="0"/>
              <w:kinsoku/>
              <w:wordWrap/>
              <w:overflowPunct/>
              <w:topLinePunct w:val="0"/>
              <w:autoSpaceDE/>
              <w:autoSpaceDN/>
              <w:bidi w:val="0"/>
              <w:spacing w:line="320" w:lineRule="exact"/>
              <w:jc w:val="center"/>
              <w:textAlignment w:val="center"/>
              <w:rPr>
                <w:rFonts w:hint="default"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themeColor="text1"/>
                <w:kern w:val="0"/>
                <w:sz w:val="24"/>
                <w:szCs w:val="24"/>
                <w:lang w:val="en-US" w:eastAsia="zh-CN"/>
                <w14:textFill>
                  <w14:solidFill>
                    <w14:schemeClr w14:val="tx1"/>
                  </w14:solidFill>
                </w14:textFill>
              </w:rPr>
              <w:t>技师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医学影像技术学专业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全日制本科及以上学历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具有技师资格者年龄在30周岁及以下，</w:t>
            </w:r>
            <w:r>
              <w:rPr>
                <w:rFonts w:hint="eastAsia" w:ascii="Times New Roman" w:hAnsi="Times New Roman"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不具有技师资格者年龄在25周岁及以下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不具有技师资格者年龄在25周岁以下，给予2次考取资格机会，未通过者即给予解除劳动合同关系。</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lang w:val="en-US" w:eastAsia="zh-CN"/>
              </w:rPr>
              <w:t>五官科</w:t>
            </w:r>
            <w:r>
              <w:rPr>
                <w:rFonts w:hint="eastAsia" w:ascii="Times New Roman" w:hAnsi="Times New Roman" w:eastAsia="仿宋_GB2312" w:cs="仿宋_GB2312"/>
                <w:color w:val="000000"/>
                <w:kern w:val="0"/>
                <w:sz w:val="24"/>
                <w:szCs w:val="24"/>
              </w:rPr>
              <w:t>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9</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麻醉科医师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10</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康复科医师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中医学或中西医结合专业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rPr>
              <w:t>中药士</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药学或中药学专业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取得中药士资格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及以上</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信息</w:t>
            </w:r>
          </w:p>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工程师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计算机或信息工程专业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全日制大专及以上学历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信息</w:t>
            </w:r>
          </w:p>
          <w:p>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rPr>
              <w:t>工程师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计算机或信息工程专业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全日制本科及以上学历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是(结构化面试)</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bl>
    <w:p>
      <w:r>
        <w:rPr>
          <w:rStyle w:val="8"/>
          <w:rFonts w:hint="default" w:ascii="Times New Roman" w:hAnsi="Times New Roman" w:eastAsia="黑体" w:cs="Times New Roman"/>
          <w:b w:val="0"/>
          <w:color w:val="222222"/>
          <w:kern w:val="0"/>
          <w:sz w:val="28"/>
          <w:szCs w:val="28"/>
          <w:shd w:val="clear" w:color="auto" w:fill="FFFFFF"/>
          <w:lang w:val="en-US" w:eastAsia="zh-CN" w:bidi="ar"/>
        </w:rPr>
        <w:t>注：专业参照《学科专业目录汇编》</w:t>
      </w:r>
      <w:r>
        <w:rPr>
          <w:rStyle w:val="8"/>
          <w:rFonts w:hint="eastAsia" w:ascii="Times New Roman" w:hAnsi="Times New Roman" w:eastAsia="黑体" w:cs="Times New Roman"/>
          <w:b w:val="0"/>
          <w:color w:val="222222"/>
          <w:kern w:val="0"/>
          <w:sz w:val="28"/>
          <w:szCs w:val="28"/>
          <w:shd w:val="clear" w:color="auto" w:fill="FFFFFF"/>
          <w:lang w:val="en-US" w:eastAsia="zh-CN" w:bidi="ar"/>
        </w:rPr>
        <w:t>，考生出生日期以身份证日期为准并以考生投递报名资料日期为年龄计算截止日期。</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mYyYWUwMWNhNzIyNjZmYmRlZDA4OWI3ZTM1MWMifQ=="/>
  </w:docVars>
  <w:rsids>
    <w:rsidRoot w:val="00000000"/>
    <w:rsid w:val="062909CD"/>
    <w:rsid w:val="33EC6C13"/>
    <w:rsid w:val="6548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2024-08-02T10:01:00Z</dcterms:created>
  <dc:creator>Administrator</dc:creator>
  <cp:lastModifiedBy>Administrator</cp:lastModifiedBy>
  <dcterms:modified xsi:type="dcterms:W3CDTF">2024-08-06T01:47:19Z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F29BD7C304FB4316BB990D071397CCB7_12</vt:lpwstr>
  </property>
</Properties>
</file>