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江西省国控创新产业咨询有限公司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领导干部须回避的亲属关系信息表</w:t>
      </w:r>
      <w:bookmarkStart w:id="0" w:name="_GoBack"/>
      <w:bookmarkEnd w:id="0"/>
    </w:p>
    <w:tbl>
      <w:tblPr>
        <w:tblStyle w:val="4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1.请在上表中如实填写配偶、子女、父母等亲属情况。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2.如有须回避的亲属为江西国控集团系统外副厅级 (含) 以上领导干部、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江西国控集团领导班子成员、江西国控集团本部中层干部、江西国控集团二级公司高管人员及本公司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中层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必须在上表中如实填报。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3.须回避的亲属关系的范围为: 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 ); 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p/>
    <w:sectPr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2FjM2NlZjY2ZTBlMzc0Yjg1YWFiZjliOWNhNjYifQ=="/>
  </w:docVars>
  <w:rsids>
    <w:rsidRoot w:val="419E7C49"/>
    <w:rsid w:val="19DA533F"/>
    <w:rsid w:val="419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2024-05-10T08:50:00Z</dcterms:created>
  <dc:creator>陈欣</dc:creator>
  <cp:lastModifiedBy>乐娟</cp:lastModifiedBy>
  <dcterms:modified xsi:type="dcterms:W3CDTF">2024-07-10T06:31:36Z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B80ABEB04F3D47988A858301A709D9A7_11</vt:lpwstr>
  </property>
</Properties>
</file>