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附件1：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杨村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镇预任制村干部招录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shd w:val="clear" w:color="auto" w:fill="FFFFFF"/>
          <w:lang w:eastAsia="zh-CN"/>
        </w:rPr>
        <w:t>报名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shd w:val="clear" w:color="auto" w:fill="FFFFFF"/>
        </w:rPr>
        <w:t>登记表</w:t>
      </w:r>
    </w:p>
    <w:tbl>
      <w:tblPr>
        <w:tblStyle w:val="5"/>
        <w:tblW w:w="8461" w:type="dxa"/>
        <w:tblInd w:w="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254"/>
        <w:gridCol w:w="898"/>
        <w:gridCol w:w="719"/>
        <w:gridCol w:w="863"/>
        <w:gridCol w:w="348"/>
        <w:gridCol w:w="1044"/>
        <w:gridCol w:w="511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毕业院校及 专 业</w:t>
            </w:r>
          </w:p>
        </w:tc>
        <w:tc>
          <w:tcPr>
            <w:tcW w:w="276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6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加分项</w:t>
            </w:r>
          </w:p>
        </w:tc>
        <w:tc>
          <w:tcPr>
            <w:tcW w:w="701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学习和工作简历</w:t>
            </w:r>
          </w:p>
        </w:tc>
        <w:tc>
          <w:tcPr>
            <w:tcW w:w="701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家庭成员以及主要社会关系</w:t>
            </w:r>
          </w:p>
        </w:tc>
        <w:tc>
          <w:tcPr>
            <w:tcW w:w="701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01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我承诺：我提供的所有材料，保证真实可靠，绝无隐瞒事实、弄虚作假之处。如作假，一切责任自负。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本人签名：              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val="en-US" w:eastAsia="zh-CN" w:bidi="ar"/>
        </w:rPr>
        <w:br w:type="page"/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val="en-US" w:eastAsia="zh-CN" w:bidi="ar"/>
        </w:rPr>
        <w:t>附件2：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vertAlign w:val="baseline"/>
          <w:lang w:val="en-US" w:eastAsia="zh-CN" w:bidi="ar-SA"/>
        </w:rPr>
        <w:t>1、笔试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  <w:t>（1）范围：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《中华人民共和国村民委员会组织法》、《中华人民共和国宪法》</w:t>
      </w:r>
      <w:r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  <w:t>、《中国共产党章程》、党的二十大报告、国情、省情、市情、镇情，政治、历史、地理、文学等基本知识，电脑办公软件使用基本知识，日常应用文写作，公民应知应会等基本常识。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  <w:t>（2）时限与分值：考试时限为90分钟，分值为100分。（不指定任何教材、复习资料，也不举办、不委托举办任何形式的辅导和培训活动。）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  <w:t>（3）时间与地点：见《准考证》。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vertAlign w:val="baseline"/>
          <w:lang w:val="en-US" w:eastAsia="zh-CN" w:bidi="ar-SA"/>
        </w:rPr>
        <w:t>2、面试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default" w:ascii="宋体" w:hAnsi="宋体" w:eastAsia="宋体" w:cs="宋体"/>
          <w:kern w:val="2"/>
          <w:sz w:val="30"/>
          <w:szCs w:val="30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highlight w:val="none"/>
          <w:vertAlign w:val="baseline"/>
          <w:lang w:val="en-US" w:eastAsia="zh-CN" w:bidi="ar-SA"/>
        </w:rPr>
        <w:t>（1）</w:t>
      </w:r>
      <w:r>
        <w:rPr>
          <w:rFonts w:hint="eastAsia" w:ascii="宋体" w:hAnsi="宋体" w:cs="宋体"/>
          <w:kern w:val="2"/>
          <w:sz w:val="30"/>
          <w:szCs w:val="30"/>
          <w:highlight w:val="none"/>
          <w:vertAlign w:val="baseline"/>
          <w:lang w:val="en-US" w:eastAsia="zh-CN" w:bidi="ar-SA"/>
        </w:rPr>
        <w:t>形式：结构化面试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30"/>
          <w:szCs w:val="30"/>
          <w:vertAlign w:val="baseline"/>
          <w:lang w:val="en-US" w:eastAsia="zh-CN" w:bidi="ar-SA"/>
        </w:rPr>
        <w:t>（2）</w:t>
      </w:r>
      <w:r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  <w:t>内容：对论断的理解、日常办公事务处理、突发事件应急处理能力等。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  <w:t>（</w:t>
      </w:r>
      <w:r>
        <w:rPr>
          <w:rFonts w:hint="eastAsia" w:ascii="宋体" w:hAnsi="宋体" w:cs="宋体"/>
          <w:kern w:val="2"/>
          <w:sz w:val="30"/>
          <w:szCs w:val="30"/>
          <w:vertAlign w:val="baseline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30"/>
          <w:szCs w:val="30"/>
          <w:vertAlign w:val="baseline"/>
          <w:lang w:val="en-US" w:eastAsia="zh-CN" w:bidi="ar-SA"/>
        </w:rPr>
        <w:t>）时间与地点：另行通知。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MzdkNmMyYjBkNjQxZjA4ZWYwZGUxZmZiOWVmMWQifQ=="/>
  </w:docVars>
  <w:rsids>
    <w:rsidRoot w:val="477307DF"/>
    <w:rsid w:val="477307DF"/>
    <w:rsid w:val="5C2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268</Characters>
  <Lines>0</Lines>
  <Paragraphs>0</Paragraphs>
  <TotalTime>0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2024-06-20T07:13:00Z</dcterms:created>
  <dc:creator>不羁的风</dc:creator>
  <cp:lastModifiedBy>不羁的风</cp:lastModifiedBy>
  <dcterms:modified xsi:type="dcterms:W3CDTF">2024-06-20T07:27:02Z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060530743FBA4CB7B56EFA909DBDDF9B_11</vt:lpwstr>
  </property>
</Properties>
</file>