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ascii="微软雅黑" w:hAnsi="微软雅黑" w:eastAsia="微软雅黑" w:cs="微软雅黑"/>
          <w:b/>
          <w:bCs/>
          <w:i w:val="0"/>
          <w:iCs w:val="0"/>
          <w:caps w:val="0"/>
          <w:color w:val="000000" w:themeColor="text1"/>
          <w:spacing w:val="0"/>
          <w:sz w:val="24"/>
          <w:szCs w:val="24"/>
          <w14:textFill>
            <w14:solidFill>
              <w14:schemeClr w14:val="tx1"/>
            </w14:solidFill>
          </w14:textFill>
        </w:rPr>
      </w:pPr>
      <w:r>
        <w:rPr>
          <w:rFonts w:hint="eastAsia" w:ascii="微软雅黑" w:hAnsi="微软雅黑" w:eastAsia="微软雅黑" w:cs="微软雅黑"/>
          <w:b/>
          <w:bCs/>
          <w:i w:val="0"/>
          <w:iCs w:val="0"/>
          <w:caps w:val="0"/>
          <w:color w:val="000000" w:themeColor="text1"/>
          <w:spacing w:val="0"/>
          <w:sz w:val="24"/>
          <w:szCs w:val="24"/>
          <w:shd w:val="clear" w:fill="FFFFFF"/>
          <w14:textFill>
            <w14:solidFill>
              <w14:schemeClr w14:val="tx1"/>
            </w14:solidFill>
          </w14:textFill>
        </w:rPr>
        <w:t>闽江学院2024年度高层次人才招聘公告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jc w:val="both"/>
        <w:rPr>
          <w:rFonts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闽江学院位于文化底蕴深厚、风景宜人秀丽的福建省省会福州市，是2002年经教育部批准设立的全日制普通本科高校。学校拥有光荣的历史传统，习近平总书记在福州工作期间曾兼任闽大校长6年（1990年6月至1996年5月），创造性提出“不求最大，但求最优，但求适应社会需要”的办学理念，积极倡导“立足福州、面向市场、注重质量、突出应用”的办学宗旨，引领闽大蹚出了一条应用型办学的内涵发展、特色发展之路。2021年3月25日，习近平总书记回校考察调研并发表重要讲话，为新时期闽江学院改革发展注入了信念之魂、提供了奋进之源、擘画了发展之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学校深入贯彻落实习近平总书记回校考察重要讲话精神，坚定不移地走应用型办学之路，办学质量和办学水平显著提升。学校现为“服务国家特殊需求”硕士专业学位研究生教育试点高校，福建省重点建设高校、一流应用型建设高校（A类）、示范性应用型本科高校，入选全国党建工作示范高校培育创建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学校设有15个二级学院，全日制在校生约1.6万人，拥有工商管理专业学位硕士点。现有国家级一流专业建设点8个、国家级特色专业2个、国家级一流本科课程1门、国家级教学成果奖4项（含合作3项）、省级重点实验室5个。拥有“长江学者”特聘教授、教育部新世纪优秀人才等省部级及以上高层次人才175人（含柔聘），其中国家级人才24人。专任教师1000多人，其中博士学位教师占比45%以上，涌现出全国模范教师、省教学名师、省优秀教师、省师德标兵等先进教师典型。近五年，新增国家级项目95项，省部级项目513项，承担各类横向课题、产学研合作项目1055项。工程学、社会学科总论进入ESI学科全球前1%，纺织科学与工程学科入选2023软科世界一流学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b/>
          <w:bCs/>
          <w:i w:val="0"/>
          <w:iCs w:val="0"/>
          <w:caps w:val="0"/>
          <w:color w:val="333333"/>
          <w:spacing w:val="0"/>
          <w:sz w:val="21"/>
          <w:szCs w:val="21"/>
          <w:shd w:val="clear" w:fill="FFFFFF"/>
        </w:rPr>
        <w:t>因学校事业发展需要，现面向海内外诚聘英才100名。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1"/>
          <w:szCs w:val="21"/>
          <w:shd w:val="clear" w:fill="FFFFFF"/>
        </w:rPr>
        <w:t>一、招聘条件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1.具有中华人民共和国国籍，拥护中国共产党的领导，热爱祖国，遵纪守法。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2.热爱党的教育事业，具有良好的职业道德和团队协作精神。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3.诚实守信、品行端正，有强烈的事业心和高度的责任感。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4.身心健康，符合高校教师资格健康体检合格要求。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5.具有博士研究生学历学位。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6.应聘紧缺师资的青年博士年龄原则上不超过40周岁，具有副高职称的博士年龄不超过45周岁，具有正高职称的博士年龄不超过50周岁。应聘人员年龄计算时间截止2024年1月1日。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7.应聘者须取得与岗位要求一致的证书，取得境外学历学位的报名者应提供教育部留学服务中心出具的学历学位认证书。取得博士研究生学历学位证书、认证书的截止时间为2025年8月31日，逾期取消聘用资格。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1"/>
          <w:szCs w:val="21"/>
          <w:shd w:val="clear" w:fill="FFFFFF"/>
        </w:rPr>
        <w:t>二、招聘岗位</w:t>
      </w:r>
    </w:p>
    <w:tbl>
      <w:tblPr>
        <w:tblStyle w:val="4"/>
        <w:tblW w:w="737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499"/>
        <w:gridCol w:w="1060"/>
        <w:gridCol w:w="1615"/>
        <w:gridCol w:w="419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71" w:hRule="atLeast"/>
          <w:jc w:val="center"/>
        </w:trPr>
        <w:tc>
          <w:tcPr>
            <w:tcW w:w="510" w:type="dxa"/>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序号</w:t>
            </w:r>
          </w:p>
        </w:tc>
        <w:tc>
          <w:tcPr>
            <w:tcW w:w="1130" w:type="dxa"/>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学院</w:t>
            </w:r>
          </w:p>
        </w:tc>
        <w:tc>
          <w:tcPr>
            <w:tcW w:w="1720" w:type="dxa"/>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需求学科专业</w:t>
            </w:r>
          </w:p>
        </w:tc>
        <w:tc>
          <w:tcPr>
            <w:tcW w:w="3260" w:type="dxa"/>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联系方式及简历投递邮箱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马克思主义学院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马克思主义理论类、政治学类、哲学类、历史学类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周老师：0591-83761791，13799917586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邮箱：mjumy@mju.edu.cn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2</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新华都商学院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经济贸易类、财政金融类、统计学类、会计与审计类、管理科学与工程类、工商管理类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陈老师：0591-83761591，18805900043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邮箱：nbszp@nbs.edu.cn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3</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经济与管理学院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经济贸易类、会计与审计类、管理科学与工程类、工商管理类、旅游餐饮类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林老师：0591-83761135，18859979976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邮箱：jgxy@mju.edu.cn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4</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人文学院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中国语言文学类、历史学类、教育学类（汉语国际教育、对外汉语方向）</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黄老师：0591-83761570，13959187068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邮箱：mjrwxy@163.com</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5</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法学院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法学类、社会学类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林老师：0591-83761525，13799339651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邮箱：mjulaw@mju.edu.cn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6</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新闻传播学院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艺术设计类、新闻传播学类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陈老师：0591-23538353，13859024787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邮箱：xwcbxy@mju.edu.cn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7</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美术学院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艺术设计类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王老师：19906932815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邮箱：mjxyart@163.com</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8</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蔡继琨音乐学院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表演艺术类（声乐方向）</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卢老师：15989186658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邮箱：yyxy@mju.edu.cn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9</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服装与艺术工程学院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纺织科学与工程类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刘老师：15921580592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邮箱：fzxy@mju.edu.cn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10</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计算机与大数据学院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计算机科学与技术类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王老师：15396032030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邮箱：ccce@mju.edu.cn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11</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物理与电子信息工程学院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机械类、电气自动化类、电子信息类、物理海洋学</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沈老师：15980236436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邮箱：wdxy@mju.edu.cn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12</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材料与化学工程学院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材料类、化工与制药类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林老师：0591-83761795,13950438709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w:t>
            </w:r>
            <w:bookmarkStart w:id="0" w:name="_GoBack"/>
            <w:bookmarkEnd w:id="0"/>
            <w:r>
              <w:rPr>
                <w:rFonts w:hint="eastAsia" w:ascii="微软雅黑" w:hAnsi="微软雅黑" w:eastAsia="微软雅黑" w:cs="微软雅黑"/>
                <w:color w:val="333333"/>
                <w:kern w:val="0"/>
                <w:sz w:val="21"/>
                <w:szCs w:val="21"/>
                <w:lang w:val="en-US" w:eastAsia="zh-CN" w:bidi="ar"/>
              </w:rPr>
              <w:t>chxy@mju.edu.cn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13</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地理与海洋学院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测绘类、城乡规划、建筑学</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刘老师：0591-83760389，17326557116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邮箱：mjudhxy@163.com</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14</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创新创业创造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管理科学与工程类、工商管理类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余老师：0591-83761176 17759192067</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邮箱：mjuscfwzx@163.com</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15</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教师教育学院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心理学类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林老师：0591-83761877，13509354289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邮箱：ste@mju.edu.cn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16</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福州海洋研究院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食品科学与工程类、轻化工类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刘老师：19813416106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邮箱：hyyjy@mju.edu.cn</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30" w:hRule="atLeast"/>
          <w:jc w:val="center"/>
        </w:trPr>
        <w:tc>
          <w:tcPr>
            <w:tcW w:w="51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17</w:t>
            </w:r>
          </w:p>
        </w:tc>
        <w:tc>
          <w:tcPr>
            <w:tcW w:w="113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乡村振兴研究院</w:t>
            </w:r>
          </w:p>
        </w:tc>
        <w:tc>
          <w:tcPr>
            <w:tcW w:w="17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城乡规划、社会学类、管理科学与工程类、工商管理类、旅游餐饮类、经济贸易类</w:t>
            </w:r>
          </w:p>
        </w:tc>
        <w:tc>
          <w:tcPr>
            <w:tcW w:w="326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赖老师：13859073305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left"/>
              <w:rPr>
                <w:color w:val="333333"/>
                <w:sz w:val="21"/>
                <w:szCs w:val="21"/>
              </w:rPr>
            </w:pPr>
            <w:r>
              <w:rPr>
                <w:rFonts w:hint="eastAsia" w:ascii="微软雅黑" w:hAnsi="微软雅黑" w:eastAsia="微软雅黑" w:cs="微软雅黑"/>
                <w:color w:val="333333"/>
                <w:kern w:val="0"/>
                <w:sz w:val="21"/>
                <w:szCs w:val="21"/>
                <w:lang w:val="en-US" w:eastAsia="zh-CN" w:bidi="ar"/>
              </w:rPr>
              <w:t>邮箱：mjxyxczxyjy@163.com</w:t>
            </w:r>
            <w:r>
              <w:rPr>
                <w:rFonts w:hint="eastAsia" w:ascii="微软雅黑" w:hAnsi="微软雅黑" w:eastAsia="微软雅黑" w:cs="微软雅黑"/>
              </w:rPr>
              <w:t>,jklhrsc@126.com</w:t>
            </w:r>
            <w:r>
              <w:rPr>
                <w:rFonts w:hint="eastAsia" w:ascii="微软雅黑" w:hAnsi="微软雅黑" w:eastAsia="微软雅黑" w:cs="微软雅黑"/>
                <w:lang w:val="en-US" w:eastAsia="zh-CN"/>
              </w:rPr>
              <w:t>,</w:t>
            </w:r>
            <w:r>
              <w:rPr>
                <w:rFonts w:hint="eastAsia" w:ascii="微软雅黑" w:hAnsi="微软雅黑" w:eastAsia="微软雅黑" w:cs="微软雅黑"/>
                <w:color w:val="000000" w:themeColor="text1"/>
                <w:u w:val="none"/>
                <w14:textFill>
                  <w14:solidFill>
                    <w14:schemeClr w14:val="tx1"/>
                  </w14:solidFill>
                </w14:textFill>
              </w:rPr>
              <w:fldChar w:fldCharType="begin"/>
            </w:r>
            <w:r>
              <w:rPr>
                <w:rFonts w:hint="eastAsia" w:ascii="微软雅黑" w:hAnsi="微软雅黑" w:eastAsia="微软雅黑" w:cs="微软雅黑"/>
                <w:color w:val="000000" w:themeColor="text1"/>
                <w:u w:val="none"/>
                <w14:textFill>
                  <w14:solidFill>
                    <w14:schemeClr w14:val="tx1"/>
                  </w14:solidFill>
                </w14:textFill>
              </w:rPr>
              <w:instrText xml:space="preserve"> HYPERLINK "mailto:rcbedu@126.com" </w:instrText>
            </w:r>
            <w:r>
              <w:rPr>
                <w:rFonts w:hint="eastAsia" w:ascii="微软雅黑" w:hAnsi="微软雅黑" w:eastAsia="微软雅黑" w:cs="微软雅黑"/>
                <w:color w:val="000000" w:themeColor="text1"/>
                <w:u w:val="none"/>
                <w14:textFill>
                  <w14:solidFill>
                    <w14:schemeClr w14:val="tx1"/>
                  </w14:solidFill>
                </w14:textFill>
              </w:rPr>
              <w:fldChar w:fldCharType="separate"/>
            </w:r>
            <w:r>
              <w:rPr>
                <w:rStyle w:val="7"/>
                <w:rFonts w:hint="eastAsia" w:ascii="微软雅黑" w:hAnsi="微软雅黑" w:eastAsia="微软雅黑" w:cs="微软雅黑"/>
                <w:color w:val="000000" w:themeColor="text1"/>
                <w:u w:val="none"/>
                <w14:textFill>
                  <w14:solidFill>
                    <w14:schemeClr w14:val="tx1"/>
                  </w14:solidFill>
                </w14:textFill>
              </w:rPr>
              <w:t>rcbedu@126.com</w:t>
            </w:r>
            <w:r>
              <w:rPr>
                <w:rFonts w:hint="eastAsia" w:ascii="微软雅黑" w:hAnsi="微软雅黑" w:eastAsia="微软雅黑" w:cs="微软雅黑"/>
                <w:color w:val="000000" w:themeColor="text1"/>
                <w:u w:val="none"/>
                <w14:textFill>
                  <w14:solidFill>
                    <w14:schemeClr w14:val="tx1"/>
                  </w14:solidFill>
                </w14:textFill>
              </w:rPr>
              <w:fldChar w:fldCharType="end"/>
            </w:r>
            <w:r>
              <w:rPr>
                <w:rFonts w:hint="eastAsia" w:ascii="微软雅黑" w:hAnsi="微软雅黑" w:eastAsia="微软雅黑" w:cs="微软雅黑"/>
                <w:lang w:val="en-US" w:eastAsia="zh-CN"/>
              </w:rPr>
              <w:t xml:space="preserve">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若为学校紧缺专业人才或业绩特别突出的，经学校研究后，可按照“一才一策”“一事一议”原则执行。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1"/>
          <w:szCs w:val="21"/>
          <w:shd w:val="clear" w:fill="FFFFFF"/>
        </w:rPr>
        <w:t>三、引进待遇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1"/>
          <w:szCs w:val="21"/>
          <w:shd w:val="clear" w:fill="FFFFFF"/>
        </w:rPr>
        <w:t>（一）校内待遇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           </w:t>
      </w:r>
      <w:r>
        <w:rPr>
          <w:rFonts w:hint="eastAsia" w:ascii="微软雅黑" w:hAnsi="微软雅黑" w:eastAsia="微软雅黑" w:cs="微软雅黑"/>
          <w:i w:val="0"/>
          <w:iCs w:val="0"/>
          <w:caps w:val="0"/>
          <w:color w:val="333333"/>
          <w:spacing w:val="0"/>
          <w:sz w:val="21"/>
          <w:szCs w:val="21"/>
          <w:shd w:val="clear" w:fill="FFFFFF"/>
          <w:lang w:val="en-US" w:eastAsia="zh-CN"/>
        </w:rPr>
        <w:t xml:space="preserve">                                         </w:t>
      </w:r>
      <w:r>
        <w:rPr>
          <w:rFonts w:hint="eastAsia" w:ascii="微软雅黑" w:hAnsi="微软雅黑" w:eastAsia="微软雅黑" w:cs="微软雅黑"/>
          <w:i w:val="0"/>
          <w:iCs w:val="0"/>
          <w:caps w:val="0"/>
          <w:color w:val="333333"/>
          <w:spacing w:val="0"/>
          <w:sz w:val="21"/>
          <w:szCs w:val="21"/>
          <w:shd w:val="clear" w:fill="FFFFFF"/>
        </w:rPr>
        <w:t> 货币单位：万元（人民币）</w:t>
      </w:r>
    </w:p>
    <w:tbl>
      <w:tblPr>
        <w:tblStyle w:val="4"/>
        <w:tblW w:w="72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44"/>
        <w:gridCol w:w="1133"/>
        <w:gridCol w:w="1155"/>
        <w:gridCol w:w="1466"/>
        <w:gridCol w:w="1277"/>
        <w:gridCol w:w="164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50" w:hRule="atLeast"/>
          <w:jc w:val="center"/>
        </w:trPr>
        <w:tc>
          <w:tcPr>
            <w:tcW w:w="1510" w:type="dxa"/>
            <w:gridSpan w:val="2"/>
            <w:vMerge w:val="restart"/>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350" w:lineRule="atLeast"/>
              <w:ind w:left="0" w:right="0"/>
              <w:jc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聘用类别</w:t>
            </w:r>
          </w:p>
        </w:tc>
        <w:tc>
          <w:tcPr>
            <w:tcW w:w="2360" w:type="dxa"/>
            <w:gridSpan w:val="2"/>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科研启动经费</w:t>
            </w:r>
          </w:p>
        </w:tc>
        <w:tc>
          <w:tcPr>
            <w:tcW w:w="1150" w:type="dxa"/>
            <w:vMerge w:val="restart"/>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安家或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购房补贴</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业绩工资</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（每年）</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40" w:hRule="atLeast"/>
          <w:jc w:val="center"/>
        </w:trPr>
        <w:tc>
          <w:tcPr>
            <w:tcW w:w="15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jc w:val="center"/>
              <w:rPr>
                <w:rFonts w:hint="eastAsia" w:ascii="宋体"/>
                <w:sz w:val="21"/>
                <w:szCs w:val="21"/>
              </w:rPr>
            </w:pPr>
          </w:p>
        </w:tc>
        <w:tc>
          <w:tcPr>
            <w:tcW w:w="1040" w:type="dxa"/>
            <w:tcBorders>
              <w:top w:val="nil"/>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人文社科类</w:t>
            </w:r>
          </w:p>
        </w:tc>
        <w:tc>
          <w:tcPr>
            <w:tcW w:w="1320" w:type="dxa"/>
            <w:tcBorders>
              <w:top w:val="nil"/>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理工类</w:t>
            </w:r>
          </w:p>
        </w:tc>
        <w:tc>
          <w:tcPr>
            <w:tcW w:w="1150" w:type="dxa"/>
            <w:vMerge w:val="continue"/>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jc w:val="center"/>
              <w:rPr>
                <w:rFonts w:hint="eastAsia" w:ascii="宋体"/>
                <w:sz w:val="21"/>
                <w:szCs w:val="21"/>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jc w:val="cente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330" w:hRule="atLeast"/>
          <w:jc w:val="center"/>
        </w:trPr>
        <w:tc>
          <w:tcPr>
            <w:tcW w:w="1510" w:type="dxa"/>
            <w:gridSpan w:val="2"/>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首席科学家</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（顾问）</w:t>
            </w:r>
          </w:p>
        </w:tc>
        <w:tc>
          <w:tcPr>
            <w:tcW w:w="4780" w:type="dxa"/>
            <w:gridSpan w:val="4"/>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面议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510" w:hRule="atLeast"/>
          <w:jc w:val="center"/>
        </w:trPr>
        <w:tc>
          <w:tcPr>
            <w:tcW w:w="1510" w:type="dxa"/>
            <w:gridSpan w:val="2"/>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闽都学者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卓越教授</w:t>
            </w:r>
          </w:p>
        </w:tc>
        <w:tc>
          <w:tcPr>
            <w:tcW w:w="104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200～300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1000～2000</w:t>
            </w:r>
          </w:p>
        </w:tc>
        <w:tc>
          <w:tcPr>
            <w:tcW w:w="1150"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200～300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85～115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 w:hRule="atLeast"/>
          <w:jc w:val="center"/>
        </w:trPr>
        <w:tc>
          <w:tcPr>
            <w:tcW w:w="1510" w:type="dxa"/>
            <w:gridSpan w:val="2"/>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闽都学者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特聘教授</w:t>
            </w:r>
          </w:p>
        </w:tc>
        <w:tc>
          <w:tcPr>
            <w:tcW w:w="104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100</w:t>
            </w:r>
          </w:p>
        </w:tc>
        <w:tc>
          <w:tcPr>
            <w:tcW w:w="13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500</w:t>
            </w:r>
          </w:p>
        </w:tc>
        <w:tc>
          <w:tcPr>
            <w:tcW w:w="115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150</w:t>
            </w:r>
          </w:p>
        </w:tc>
        <w:tc>
          <w:tcPr>
            <w:tcW w:w="148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55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20" w:hRule="atLeast"/>
          <w:jc w:val="center"/>
        </w:trPr>
        <w:tc>
          <w:tcPr>
            <w:tcW w:w="1510" w:type="dxa"/>
            <w:gridSpan w:val="2"/>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学术团队</w:t>
            </w:r>
          </w:p>
        </w:tc>
        <w:tc>
          <w:tcPr>
            <w:tcW w:w="2360" w:type="dxa"/>
            <w:gridSpan w:val="2"/>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面议</w:t>
            </w:r>
          </w:p>
        </w:tc>
        <w:tc>
          <w:tcPr>
            <w:tcW w:w="2420" w:type="dxa"/>
            <w:gridSpan w:val="2"/>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每位团队成员均按其所属</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人才类别的标准执行</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jc w:val="center"/>
        </w:trPr>
        <w:tc>
          <w:tcPr>
            <w:tcW w:w="1510" w:type="dxa"/>
            <w:gridSpan w:val="2"/>
            <w:vMerge w:val="restart"/>
            <w:tcBorders>
              <w:top w:val="nil"/>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350" w:lineRule="atLeast"/>
              <w:ind w:left="0" w:right="0"/>
              <w:jc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聘用类别</w:t>
            </w:r>
          </w:p>
        </w:tc>
        <w:tc>
          <w:tcPr>
            <w:tcW w:w="2360" w:type="dxa"/>
            <w:gridSpan w:val="2"/>
            <w:tcBorders>
              <w:top w:val="nil"/>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科研启动经费</w:t>
            </w:r>
          </w:p>
        </w:tc>
        <w:tc>
          <w:tcPr>
            <w:tcW w:w="1150" w:type="dxa"/>
            <w:vMerge w:val="restart"/>
            <w:tcBorders>
              <w:top w:val="nil"/>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安家或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购房补贴</w:t>
            </w:r>
          </w:p>
        </w:tc>
        <w:tc>
          <w:tcPr>
            <w:tcW w:w="1480" w:type="dxa"/>
            <w:vMerge w:val="restart"/>
            <w:tcBorders>
              <w:top w:val="single" w:color="000000" w:sz="4" w:space="0"/>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年薪</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（底薪+业绩奖励）</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90" w:hRule="atLeast"/>
          <w:jc w:val="center"/>
        </w:trPr>
        <w:tc>
          <w:tcPr>
            <w:tcW w:w="1510" w:type="dxa"/>
            <w:gridSpan w:val="2"/>
            <w:vMerge w:val="continue"/>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jc w:val="center"/>
              <w:rPr>
                <w:rFonts w:hint="eastAsia" w:ascii="宋体"/>
                <w:sz w:val="21"/>
                <w:szCs w:val="21"/>
              </w:rPr>
            </w:pPr>
          </w:p>
        </w:tc>
        <w:tc>
          <w:tcPr>
            <w:tcW w:w="1040" w:type="dxa"/>
            <w:tcBorders>
              <w:top w:val="nil"/>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人文社科类</w:t>
            </w:r>
          </w:p>
        </w:tc>
        <w:tc>
          <w:tcPr>
            <w:tcW w:w="1320" w:type="dxa"/>
            <w:tcBorders>
              <w:top w:val="nil"/>
              <w:left w:val="single" w:color="000000" w:sz="4" w:space="0"/>
              <w:bottom w:val="single" w:color="000000" w:sz="4" w:space="0"/>
              <w:right w:val="single" w:color="000000" w:sz="4" w:space="0"/>
            </w:tcBorders>
            <w:shd w:val="clear" w:color="auto" w:fill="DBE3F4" w:themeFill="accent1" w:themeFillTint="32"/>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Style w:val="6"/>
                <w:rFonts w:hint="eastAsia" w:ascii="微软雅黑" w:hAnsi="微软雅黑" w:eastAsia="微软雅黑" w:cs="微软雅黑"/>
                <w:b/>
                <w:bCs/>
                <w:color w:val="333333"/>
                <w:kern w:val="0"/>
                <w:sz w:val="21"/>
                <w:szCs w:val="21"/>
                <w:lang w:val="en-US" w:eastAsia="zh-CN" w:bidi="ar"/>
              </w:rPr>
              <w:t>理工类</w:t>
            </w:r>
          </w:p>
        </w:tc>
        <w:tc>
          <w:tcPr>
            <w:tcW w:w="1150" w:type="dxa"/>
            <w:vMerge w:val="continue"/>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jc w:val="center"/>
              <w:rPr>
                <w:rFonts w:hint="eastAsia" w:ascii="宋体"/>
                <w:sz w:val="21"/>
                <w:szCs w:val="21"/>
              </w:rPr>
            </w:pPr>
          </w:p>
        </w:tc>
        <w:tc>
          <w:tcPr>
            <w:tcW w:w="1480" w:type="dxa"/>
            <w:vMerge w:val="continue"/>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jc w:val="center"/>
              <w:rPr>
                <w:rFonts w:hint="eastAsia" w:ascii="宋体"/>
                <w:sz w:val="21"/>
                <w:szCs w:val="21"/>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70" w:hRule="atLeast"/>
          <w:jc w:val="center"/>
        </w:trPr>
        <w:tc>
          <w:tcPr>
            <w:tcW w:w="490" w:type="dxa"/>
            <w:vMerge w:val="restart"/>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紧缺师资</w:t>
            </w:r>
          </w:p>
        </w:tc>
        <w:tc>
          <w:tcPr>
            <w:tcW w:w="10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正高级专业技术职务</w:t>
            </w:r>
          </w:p>
        </w:tc>
        <w:tc>
          <w:tcPr>
            <w:tcW w:w="104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25～30</w:t>
            </w:r>
          </w:p>
        </w:tc>
        <w:tc>
          <w:tcPr>
            <w:tcW w:w="13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90～100</w:t>
            </w:r>
          </w:p>
        </w:tc>
        <w:tc>
          <w:tcPr>
            <w:tcW w:w="115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90～100</w:t>
            </w:r>
          </w:p>
        </w:tc>
        <w:tc>
          <w:tcPr>
            <w:tcW w:w="1480" w:type="dxa"/>
            <w:tcBorders>
              <w:top w:val="single" w:color="000000" w:sz="4" w:space="0"/>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41～45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 w:hRule="atLeast"/>
          <w:jc w:val="center"/>
        </w:trPr>
        <w:tc>
          <w:tcPr>
            <w:tcW w:w="490" w:type="dxa"/>
            <w:vMerge w:val="continue"/>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rPr>
                <w:rFonts w:hint="eastAsia" w:ascii="宋体"/>
                <w:sz w:val="21"/>
                <w:szCs w:val="21"/>
              </w:rPr>
            </w:pPr>
          </w:p>
        </w:tc>
        <w:tc>
          <w:tcPr>
            <w:tcW w:w="10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副高级专业技术职务</w:t>
            </w:r>
          </w:p>
        </w:tc>
        <w:tc>
          <w:tcPr>
            <w:tcW w:w="104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20～25</w:t>
            </w:r>
          </w:p>
        </w:tc>
        <w:tc>
          <w:tcPr>
            <w:tcW w:w="13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80～90</w:t>
            </w:r>
          </w:p>
        </w:tc>
        <w:tc>
          <w:tcPr>
            <w:tcW w:w="115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80～90</w:t>
            </w:r>
          </w:p>
        </w:tc>
        <w:tc>
          <w:tcPr>
            <w:tcW w:w="148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31～35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600" w:hRule="atLeast"/>
          <w:jc w:val="center"/>
        </w:trPr>
        <w:tc>
          <w:tcPr>
            <w:tcW w:w="490" w:type="dxa"/>
            <w:vMerge w:val="continue"/>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rPr>
                <w:rFonts w:hint="eastAsia" w:ascii="宋体"/>
                <w:sz w:val="21"/>
                <w:szCs w:val="21"/>
              </w:rPr>
            </w:pPr>
          </w:p>
        </w:tc>
        <w:tc>
          <w:tcPr>
            <w:tcW w:w="10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优秀博士</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270" w:lineRule="atLeast"/>
              <w:ind w:left="0" w:right="0"/>
              <w:jc w:val="center"/>
              <w:rPr>
                <w:color w:val="333333"/>
                <w:sz w:val="21"/>
                <w:szCs w:val="21"/>
              </w:rPr>
            </w:pPr>
            <w:r>
              <w:rPr>
                <w:rFonts w:hint="eastAsia" w:ascii="微软雅黑" w:hAnsi="微软雅黑" w:eastAsia="微软雅黑" w:cs="微软雅黑"/>
                <w:color w:val="333333"/>
                <w:kern w:val="0"/>
                <w:sz w:val="21"/>
                <w:szCs w:val="21"/>
                <w:lang w:val="en-US" w:eastAsia="zh-CN" w:bidi="ar"/>
              </w:rPr>
              <w:t>博士后</w:t>
            </w:r>
          </w:p>
        </w:tc>
        <w:tc>
          <w:tcPr>
            <w:tcW w:w="104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10～15</w:t>
            </w:r>
          </w:p>
        </w:tc>
        <w:tc>
          <w:tcPr>
            <w:tcW w:w="132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60～80</w:t>
            </w:r>
          </w:p>
        </w:tc>
        <w:tc>
          <w:tcPr>
            <w:tcW w:w="115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40～80</w:t>
            </w:r>
          </w:p>
        </w:tc>
        <w:tc>
          <w:tcPr>
            <w:tcW w:w="1480" w:type="dxa"/>
            <w:tcBorders>
              <w:top w:val="nil"/>
              <w:left w:val="single" w:color="000000" w:sz="4" w:space="0"/>
              <w:bottom w:val="single" w:color="000000" w:sz="4" w:space="0"/>
              <w:right w:val="single" w:color="000000" w:sz="4" w:space="0"/>
            </w:tcBorders>
            <w:shd w:val="clear" w:color="auto" w:fill="auto"/>
            <w:tcMar>
              <w:left w:w="70" w:type="dxa"/>
              <w:right w:w="7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00" w:afterAutospacing="0" w:line="18" w:lineRule="atLeast"/>
              <w:ind w:left="0" w:right="0"/>
              <w:jc w:val="center"/>
              <w:textAlignment w:val="center"/>
              <w:rPr>
                <w:color w:val="333333"/>
                <w:sz w:val="21"/>
                <w:szCs w:val="21"/>
              </w:rPr>
            </w:pPr>
            <w:r>
              <w:rPr>
                <w:rFonts w:hint="eastAsia" w:ascii="微软雅黑" w:hAnsi="微软雅黑" w:eastAsia="微软雅黑" w:cs="微软雅黑"/>
                <w:color w:val="333333"/>
                <w:kern w:val="0"/>
                <w:sz w:val="21"/>
                <w:szCs w:val="21"/>
                <w:lang w:val="en-US" w:eastAsia="zh-CN" w:bidi="ar"/>
              </w:rPr>
              <w:t>20～27</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1.聘用人员符合闽都学者卓越教授、特聘教授条件的，可按规定另外享受国库工资、单位缴交的五险二金和午餐补贴；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2.符合紧缺师资条件的，可按规定另外享受单位缴交的五险二金和午餐补贴；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3.引进人才可按政策享受学校人才过渡房。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1"/>
          <w:szCs w:val="21"/>
          <w:shd w:val="clear" w:fill="FFFFFF"/>
        </w:rPr>
        <w:t>（二）省、市有关待遇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1.由省外引进，且符合当年度福州市紧缺急需专业目录的人才，经审核认定后由福州市发放生活补贴，每月2000元，发放5年，共计12万元。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2.经认定为福建省、福州市高层次A-E类人才项目的，可享受最高200万元的落地补助。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3.学校根据上级有关规定，积极协助符合条件的人才申报国家级、省级、市级人才项目。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1"/>
          <w:szCs w:val="21"/>
          <w:shd w:val="clear" w:fill="FFFFFF"/>
        </w:rPr>
        <w:t>四、联系方式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应聘人员根据招聘公告要求将相关应聘材料(个人简历、历次学历学位证书（含认证书）、专业技术职务资格证书、主要学术水平或科研成果的证明材料等扫描件）发送至应聘学院邮箱，同时发送至人事处邮箱（</w:t>
      </w:r>
      <w:r>
        <w:rPr>
          <w:rFonts w:hint="eastAsia" w:ascii="微软雅黑" w:hAnsi="微软雅黑" w:eastAsia="微软雅黑" w:cs="微软雅黑"/>
          <w:i w:val="0"/>
          <w:iCs w:val="0"/>
          <w:caps w:val="0"/>
          <w:color w:val="C00000"/>
          <w:spacing w:val="0"/>
          <w:sz w:val="21"/>
          <w:szCs w:val="21"/>
          <w:shd w:val="clear" w:fill="FFFFFF"/>
        </w:rPr>
        <w:t>mjxyrsc@163.com</w:t>
      </w:r>
      <w:r>
        <w:rPr>
          <w:rFonts w:hint="eastAsia" w:ascii="微软雅黑" w:hAnsi="微软雅黑" w:eastAsia="微软雅黑" w:cs="微软雅黑"/>
          <w:color w:val="C00000"/>
          <w:sz w:val="21"/>
          <w:szCs w:val="21"/>
        </w:rPr>
        <w:t>,jklhrsc@126.com</w:t>
      </w:r>
      <w:r>
        <w:rPr>
          <w:rFonts w:hint="eastAsia" w:ascii="微软雅黑" w:hAnsi="微软雅黑" w:eastAsia="微软雅黑" w:cs="微软雅黑"/>
          <w:color w:val="C00000"/>
          <w:sz w:val="21"/>
          <w:szCs w:val="21"/>
          <w:lang w:val="en-US" w:eastAsia="zh-CN"/>
        </w:rPr>
        <w:t>,</w:t>
      </w:r>
      <w:r>
        <w:rPr>
          <w:rFonts w:hint="eastAsia" w:ascii="微软雅黑" w:hAnsi="微软雅黑" w:eastAsia="微软雅黑" w:cs="微软雅黑"/>
          <w:color w:val="C00000"/>
          <w:sz w:val="21"/>
          <w:szCs w:val="21"/>
          <w:u w:val="none"/>
        </w:rPr>
        <w:fldChar w:fldCharType="begin"/>
      </w:r>
      <w:r>
        <w:rPr>
          <w:rFonts w:hint="eastAsia" w:ascii="微软雅黑" w:hAnsi="微软雅黑" w:eastAsia="微软雅黑" w:cs="微软雅黑"/>
          <w:color w:val="C00000"/>
          <w:sz w:val="21"/>
          <w:szCs w:val="21"/>
          <w:u w:val="none"/>
        </w:rPr>
        <w:instrText xml:space="preserve"> HYPERLINK "mailto:rcbedu@126.com" </w:instrText>
      </w:r>
      <w:r>
        <w:rPr>
          <w:rFonts w:hint="eastAsia" w:ascii="微软雅黑" w:hAnsi="微软雅黑" w:eastAsia="微软雅黑" w:cs="微软雅黑"/>
          <w:color w:val="C00000"/>
          <w:sz w:val="21"/>
          <w:szCs w:val="21"/>
          <w:u w:val="none"/>
        </w:rPr>
        <w:fldChar w:fldCharType="separate"/>
      </w:r>
      <w:r>
        <w:rPr>
          <w:rStyle w:val="7"/>
          <w:rFonts w:hint="eastAsia" w:ascii="微软雅黑" w:hAnsi="微软雅黑" w:eastAsia="微软雅黑" w:cs="微软雅黑"/>
          <w:color w:val="C00000"/>
          <w:sz w:val="21"/>
          <w:szCs w:val="21"/>
          <w:u w:val="none"/>
        </w:rPr>
        <w:t>rcbedu@126.com</w:t>
      </w:r>
      <w:r>
        <w:rPr>
          <w:rFonts w:hint="eastAsia" w:ascii="微软雅黑" w:hAnsi="微软雅黑" w:eastAsia="微软雅黑" w:cs="微软雅黑"/>
          <w:color w:val="C00000"/>
          <w:sz w:val="21"/>
          <w:szCs w:val="21"/>
          <w:u w:val="none"/>
        </w:rPr>
        <w:fldChar w:fldCharType="end"/>
      </w:r>
      <w:r>
        <w:rPr>
          <w:rFonts w:hint="eastAsia" w:ascii="微软雅黑" w:hAnsi="微软雅黑" w:eastAsia="微软雅黑" w:cs="微软雅黑"/>
          <w:i w:val="0"/>
          <w:iCs w:val="0"/>
          <w:caps w:val="0"/>
          <w:color w:val="333333"/>
          <w:spacing w:val="0"/>
          <w:sz w:val="21"/>
          <w:szCs w:val="21"/>
          <w:shd w:val="clear" w:fill="FFFFFF"/>
        </w:rPr>
        <w:t>）。投递简历文件命名：</w:t>
      </w:r>
      <w:r>
        <w:rPr>
          <w:rFonts w:hint="eastAsia" w:ascii="微软雅黑" w:hAnsi="微软雅黑" w:eastAsia="微软雅黑" w:cs="微软雅黑"/>
          <w:i w:val="0"/>
          <w:iCs w:val="0"/>
          <w:caps w:val="0"/>
          <w:color w:val="C00000"/>
          <w:spacing w:val="0"/>
          <w:sz w:val="21"/>
          <w:szCs w:val="21"/>
          <w:shd w:val="clear" w:fill="FFFFFF"/>
        </w:rPr>
        <w:t>应聘学院+姓名+博士毕业院校及专业+职称</w:t>
      </w:r>
      <w:r>
        <w:rPr>
          <w:rFonts w:hint="eastAsia" w:ascii="微软雅黑" w:hAnsi="微软雅黑" w:eastAsia="微软雅黑" w:cs="微软雅黑"/>
          <w:i w:val="0"/>
          <w:iCs w:val="0"/>
          <w:caps w:val="0"/>
          <w:color w:val="C00000"/>
          <w:spacing w:val="0"/>
          <w:sz w:val="21"/>
          <w:szCs w:val="21"/>
          <w:shd w:val="clear" w:fill="FFFFFF"/>
          <w:lang w:val="en-US" w:eastAsia="zh-CN"/>
        </w:rPr>
        <w:t>+高等教育人才网</w:t>
      </w:r>
      <w:r>
        <w:rPr>
          <w:rFonts w:hint="eastAsia" w:ascii="微软雅黑" w:hAnsi="微软雅黑" w:eastAsia="微软雅黑" w:cs="微软雅黑"/>
          <w:i w:val="0"/>
          <w:iCs w:val="0"/>
          <w:caps w:val="0"/>
          <w:color w:val="333333"/>
          <w:spacing w:val="0"/>
          <w:sz w:val="21"/>
          <w:szCs w:val="21"/>
          <w:shd w:val="clear" w:fill="FFFFFF"/>
        </w:rPr>
        <w:t>。报名时间从信息发布即日起至2024年12月31日。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学校网址：http://www.mju.edu.cn/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学校地址：福州市大学城溪源宫路200号（邮编350108）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人事处联系方式：林老师，0591-83761116</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陈老师，0591-83761111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color w:val="C00000"/>
          <w:lang w:val="en-US" w:eastAsia="zh-CN"/>
        </w:rPr>
      </w:pPr>
      <w:r>
        <w:rPr>
          <w:rFonts w:hint="eastAsia" w:ascii="微软雅黑" w:hAnsi="微软雅黑" w:eastAsia="微软雅黑" w:cs="微软雅黑"/>
          <w:i w:val="0"/>
          <w:iCs w:val="0"/>
          <w:caps w:val="0"/>
          <w:color w:val="333333"/>
          <w:spacing w:val="0"/>
          <w:sz w:val="21"/>
          <w:szCs w:val="21"/>
          <w:shd w:val="clear" w:fill="FFFFFF"/>
        </w:rPr>
        <w:t>人事处邮箱：</w:t>
      </w:r>
      <w:r>
        <w:rPr>
          <w:rFonts w:hint="eastAsia" w:ascii="微软雅黑" w:hAnsi="微软雅黑" w:eastAsia="微软雅黑" w:cs="微软雅黑"/>
          <w:i w:val="0"/>
          <w:iCs w:val="0"/>
          <w:caps w:val="0"/>
          <w:color w:val="C00000"/>
          <w:spacing w:val="0"/>
          <w:sz w:val="21"/>
          <w:szCs w:val="21"/>
          <w:shd w:val="clear" w:fill="FFFFFF"/>
        </w:rPr>
        <w:t>mjxyrsc@163.com</w:t>
      </w:r>
      <w:r>
        <w:rPr>
          <w:rFonts w:hint="eastAsia" w:ascii="微软雅黑" w:hAnsi="微软雅黑" w:eastAsia="微软雅黑" w:cs="微软雅黑"/>
          <w:color w:val="C00000"/>
          <w:sz w:val="21"/>
          <w:szCs w:val="21"/>
        </w:rPr>
        <w:t>,jklhrsc@126.com</w:t>
      </w:r>
      <w:r>
        <w:rPr>
          <w:rFonts w:hint="eastAsia" w:ascii="微软雅黑" w:hAnsi="微软雅黑" w:eastAsia="微软雅黑" w:cs="微软雅黑"/>
          <w:color w:val="C00000"/>
          <w:sz w:val="21"/>
          <w:szCs w:val="21"/>
          <w:lang w:val="en-US" w:eastAsia="zh-CN"/>
        </w:rPr>
        <w:t>,</w:t>
      </w:r>
      <w:r>
        <w:rPr>
          <w:rFonts w:hint="eastAsia" w:ascii="微软雅黑" w:hAnsi="微软雅黑" w:eastAsia="微软雅黑" w:cs="微软雅黑"/>
          <w:color w:val="C00000"/>
          <w:sz w:val="21"/>
          <w:szCs w:val="21"/>
          <w:u w:val="none"/>
        </w:rPr>
        <w:fldChar w:fldCharType="begin"/>
      </w:r>
      <w:r>
        <w:rPr>
          <w:rFonts w:hint="eastAsia" w:ascii="微软雅黑" w:hAnsi="微软雅黑" w:eastAsia="微软雅黑" w:cs="微软雅黑"/>
          <w:color w:val="C00000"/>
          <w:sz w:val="21"/>
          <w:szCs w:val="21"/>
          <w:u w:val="none"/>
        </w:rPr>
        <w:instrText xml:space="preserve"> HYPERLINK "mailto:rcbedu@126.com" </w:instrText>
      </w:r>
      <w:r>
        <w:rPr>
          <w:rFonts w:hint="eastAsia" w:ascii="微软雅黑" w:hAnsi="微软雅黑" w:eastAsia="微软雅黑" w:cs="微软雅黑"/>
          <w:color w:val="C00000"/>
          <w:sz w:val="21"/>
          <w:szCs w:val="21"/>
          <w:u w:val="none"/>
        </w:rPr>
        <w:fldChar w:fldCharType="separate"/>
      </w:r>
      <w:r>
        <w:rPr>
          <w:rStyle w:val="7"/>
          <w:rFonts w:hint="eastAsia" w:ascii="微软雅黑" w:hAnsi="微软雅黑" w:eastAsia="微软雅黑" w:cs="微软雅黑"/>
          <w:color w:val="C00000"/>
          <w:sz w:val="21"/>
          <w:szCs w:val="21"/>
          <w:u w:val="none"/>
        </w:rPr>
        <w:t>rcbedu@126.com</w:t>
      </w:r>
      <w:r>
        <w:rPr>
          <w:rFonts w:hint="eastAsia" w:ascii="微软雅黑" w:hAnsi="微软雅黑" w:eastAsia="微软雅黑" w:cs="微软雅黑"/>
          <w:color w:val="C00000"/>
          <w:sz w:val="21"/>
          <w:szCs w:val="21"/>
          <w:u w:val="none"/>
        </w:rPr>
        <w:fldChar w:fldCharType="end"/>
      </w:r>
      <w:r>
        <w:rPr>
          <w:rFonts w:hint="eastAsia" w:ascii="微软雅黑" w:hAnsi="微软雅黑" w:eastAsia="微软雅黑" w:cs="微软雅黑"/>
          <w:color w:val="C00000"/>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lang w:val="en-US" w:eastAsia="zh-CN"/>
        </w:rPr>
      </w:pPr>
      <w:r>
        <w:rPr>
          <w:rFonts w:hint="eastAsia" w:ascii="微软雅黑" w:hAnsi="微软雅黑" w:eastAsia="微软雅黑" w:cs="微软雅黑"/>
          <w:i w:val="0"/>
          <w:iCs w:val="0"/>
          <w:caps w:val="0"/>
          <w:color w:val="333333"/>
          <w:spacing w:val="0"/>
          <w:sz w:val="21"/>
          <w:szCs w:val="21"/>
          <w:shd w:val="clear" w:fill="FFFFFF"/>
        </w:rPr>
        <w:t>投递简历文件命名：</w:t>
      </w:r>
      <w:r>
        <w:rPr>
          <w:rFonts w:hint="eastAsia" w:ascii="微软雅黑" w:hAnsi="微软雅黑" w:eastAsia="微软雅黑" w:cs="微软雅黑"/>
          <w:i w:val="0"/>
          <w:iCs w:val="0"/>
          <w:caps w:val="0"/>
          <w:color w:val="C00000"/>
          <w:spacing w:val="0"/>
          <w:sz w:val="21"/>
          <w:szCs w:val="21"/>
          <w:shd w:val="clear" w:fill="FFFFFF"/>
        </w:rPr>
        <w:t>应聘学院+姓名+博士毕业院校及专业+职称</w:t>
      </w:r>
      <w:r>
        <w:rPr>
          <w:rFonts w:hint="eastAsia" w:ascii="微软雅黑" w:hAnsi="微软雅黑" w:eastAsia="微软雅黑" w:cs="微软雅黑"/>
          <w:i w:val="0"/>
          <w:iCs w:val="0"/>
          <w:caps w:val="0"/>
          <w:color w:val="C00000"/>
          <w:spacing w:val="0"/>
          <w:sz w:val="21"/>
          <w:szCs w:val="21"/>
          <w:shd w:val="clear" w:fill="FFFFFF"/>
          <w:lang w:val="en-US" w:eastAsia="zh-CN"/>
        </w:rPr>
        <w:t>+高等教育人才网</w:t>
      </w:r>
      <w:r>
        <w:rPr>
          <w:rFonts w:hint="eastAsia" w:ascii="微软雅黑" w:hAnsi="微软雅黑" w:eastAsia="微软雅黑" w:cs="微软雅黑"/>
          <w:i w:val="0"/>
          <w:iCs w:val="0"/>
          <w:caps w:val="0"/>
          <w:color w:val="333333"/>
          <w:spacing w:val="0"/>
          <w:sz w:val="21"/>
          <w:szCs w:val="21"/>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Style w:val="6"/>
          <w:rFonts w:hint="eastAsia" w:ascii="微软雅黑" w:hAnsi="微软雅黑" w:eastAsia="微软雅黑" w:cs="微软雅黑"/>
          <w:b/>
          <w:bCs/>
          <w:i w:val="0"/>
          <w:iCs w:val="0"/>
          <w:caps w:val="0"/>
          <w:color w:val="333333"/>
          <w:spacing w:val="0"/>
          <w:sz w:val="21"/>
          <w:szCs w:val="21"/>
          <w:shd w:val="clear" w:fill="FFFFFF"/>
        </w:rPr>
        <w:t>五、福州市简况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福州市是福建省省会，历史悠久，文化底蕴深厚，是近代中国最早开放的五个通商口岸之一，是中国近代海军的摇篮，中国船政文化的发祥地。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00" w:afterAutospacing="0" w:line="315" w:lineRule="atLeast"/>
        <w:ind w:left="0" w:right="0" w:firstLine="420"/>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shd w:val="clear" w:fill="FFFFFF"/>
        </w:rPr>
        <w:t>福州位于欧亚大陆东南边缘，东临太平洋，地处中国东南沿海、福建省中东部的闽江口，与台湾省隔海相望，居于亚太经济圈中国东南的黄金海岸。森林覆盖率高，属典型的亚热带季风气候，气温适宜，温暖湿润，四季常青。地热、矿产、海洋资源丰富，2023年荣获首届全球可持续发展城市奖，曾获“国家历史文化名城”“综合实力五十强城市”“全国环保模范城市”“全国双拥模范城市”“全国文明城市”“全国宜居城市”等称号。</w:t>
      </w:r>
    </w:p>
    <w:p>
      <w:pPr>
        <w:rPr>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037C40B7"/>
    <w:rsid w:val="06186EED"/>
    <w:rsid w:val="064C5586"/>
    <w:rsid w:val="09A41994"/>
    <w:rsid w:val="0BFB4C67"/>
    <w:rsid w:val="53F740AF"/>
    <w:rsid w:val="5BF91F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6">
    <w:name w:val="Strong"/>
    <w:basedOn w:val="5"/>
    <w:autoRedefine/>
    <w:qFormat/>
    <w:uiPriority w:val="0"/>
    <w:rPr>
      <w:b/>
    </w:rPr>
  </w:style>
  <w:style w:type="character" w:styleId="7">
    <w:name w:val="Hyperlink"/>
    <w:basedOn w:val="5"/>
    <w:unhideWhenUsed/>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2024-04-02T05:12:00Z</dcterms:created>
  <dc:creator>win10</dc:creator>
  <cp:lastModifiedBy>win10</cp:lastModifiedBy>
  <dcterms:modified xsi:type="dcterms:W3CDTF">2024-04-02T06:35:55Z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DC364F36DDF5485CA941A6CE0CABD8A7_12</vt:lpwstr>
  </property>
</Properties>
</file>