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after="0" w:line="600" w:lineRule="exact"/>
        <w:ind w:left="0" w:right="0"/>
        <w:jc w:val="left"/>
      </w:pPr>
      <w:bookmarkStart w:id="0" w:name="_GoBack"/>
      <w:bookmarkEnd w:id="0"/>
      <w:r>
        <w:rPr>
          <w:rFonts w:ascii="黑体" w:hAnsi="黑体" w:eastAsia="黑体" w:cs="黑体"/>
          <w:i w:val="0"/>
          <w:strike w:val="0"/>
          <w:color w:val="000000"/>
          <w:sz w:val="32"/>
          <w:u w:val="none"/>
        </w:rPr>
        <w:t>附件</w:t>
      </w:r>
    </w:p>
    <w:p>
      <w:pPr>
        <w:snapToGrid/>
        <w:spacing w:before="0" w:after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strike w:val="0"/>
          <w:color w:val="000000"/>
          <w:sz w:val="44"/>
          <w:u w:val="none"/>
        </w:rPr>
        <w:t>江西中烟工业有限责任公司2024年高校毕业生招聘计划表</w:t>
      </w:r>
    </w:p>
    <w:p>
      <w:pPr>
        <w:snapToGrid/>
        <w:spacing w:before="0" w:after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strike w:val="0"/>
          <w:color w:val="000000"/>
          <w:sz w:val="32"/>
          <w:u w:val="none"/>
        </w:rPr>
        <w:t>（硕士研究生以上学历）</w:t>
      </w:r>
    </w:p>
    <w:tbl>
      <w:tblPr>
        <w:tblStyle w:val="5"/>
        <w:tblW w:w="0" w:type="auto"/>
        <w:jc w:val="center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80"/>
        <w:gridCol w:w="5520"/>
        <w:gridCol w:w="1395"/>
        <w:gridCol w:w="885"/>
        <w:gridCol w:w="1965"/>
        <w:gridCol w:w="156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招聘单位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招聘岗位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最低学历要求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招聘人数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备注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工作地点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napToGrid/>
              <w:spacing w:before="0" w:after="0" w:line="345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公司机关</w:t>
            </w:r>
          </w:p>
          <w:p>
            <w:pPr>
              <w:pStyle w:val="2"/>
              <w:snapToGrid/>
              <w:spacing w:before="0" w:after="0" w:line="345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3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人）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napToGrid/>
              <w:spacing w:before="0" w:after="0" w:line="345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文秘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人力资源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企业管理相关岗位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napToGrid/>
              <w:spacing w:before="0" w:after="0" w:line="345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哲学（马克思主义哲学、中国哲学、逻辑学）、中国语言文学、新闻传播学、历史学、工商管理（企业管理、财务管理、人力资源管理）、公共管理（行政管理、劳动与社会保障）、管理科学相关专业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3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要求中共党员</w:t>
            </w:r>
          </w:p>
        </w:tc>
        <w:tc>
          <w:tcPr>
            <w:tcW w:w="1560" w:type="dxa"/>
            <w:vMerge w:val="restart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江西省南昌市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市场营销中心（共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napToGrid/>
              <w:spacing w:before="0" w:after="0" w:line="345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数据分析岗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napToGrid/>
              <w:spacing w:before="0" w:after="0" w:line="345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  <w:shd w:val="clear" w:color="auto" w:fill="FFFFFF"/>
              </w:rPr>
              <w:t>经济学、统计学、数学相关专业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技术中心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3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包装设计岗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艺术设计学、视觉传达设计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 xml:space="preserve"> 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、产品设计、工艺美术相关专业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工艺研究岗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烟草学、化学、应用化学、化学工程与技术相关专业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香精香料研究岗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食品科学、分析化学、生物化工相关专业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南昌卷烟厂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7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审计岗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审计学、工程管理、工程造价相关专业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江西省南昌市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信息技术岗、信息设备管理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维修岗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计算机类、电子信息类、信息安全、信息管理与信息系统相关专业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云计算、大数据分析、数据挖掘、人工智能等研究方向优先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信息技术岗、信息设备管理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维修岗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计算机类、电子信息类、信息安全、信息管理与信息系统相关专业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信息安全、网络安全相关方向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机械设备管理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维修岗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机械类（不含车辆工程、汽车服务工程）、材料成型及控制工程相关专业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电气设备管理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维修岗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电气类、自动化类相关专业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赣州卷烟厂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5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文秘岗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哲学（马克思主义哲学、中国哲学、逻辑学）、中国语言文学、新闻传播学、历史学相关专业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江西省赣州市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规范管理岗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法学（法学理论、民商法学、诉讼法学、经济法学）相关专业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会计岗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会计学、财务管理相关专业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信息技术岗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计算机类、电子信息类、信息安全、信息管理与信息系统相关专业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信息安全、网络安全相关方向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机电设备管理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维修岗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机械类（不含车辆工程、汽车服务工程）、材料成型及控制工程、电气类、自动化类、电子信息类相关专业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9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广丰卷烟厂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信息技术岗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计算机类、电子信息类、信息安全、信息管理与信息系统相关专业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信息安全、网络安全相关方向</w:t>
            </w:r>
          </w:p>
        </w:tc>
        <w:tc>
          <w:tcPr>
            <w:tcW w:w="1560" w:type="dxa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江西省上饶市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井冈山卷烟厂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信息技术岗</w:t>
            </w:r>
          </w:p>
        </w:tc>
        <w:tc>
          <w:tcPr>
            <w:tcW w:w="5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计算机类、电子信息类、信息安全、信息管理与信息系统相关专业</w:t>
            </w: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硕士研究生</w:t>
            </w:r>
          </w:p>
        </w:tc>
        <w:tc>
          <w:tcPr>
            <w:tcW w:w="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信息安全、网络安全相关方向</w:t>
            </w:r>
          </w:p>
        </w:tc>
        <w:tc>
          <w:tcPr>
            <w:tcW w:w="1560" w:type="dxa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江西省吉安市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025" w:type="dxa"/>
            <w:gridSpan w:val="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合计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21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</w:t>
            </w:r>
          </w:p>
        </w:tc>
        <w:tc>
          <w:tcPr>
            <w:tcW w:w="1560" w:type="dxa"/>
            <w:tcBorders>
              <w:top w:val="single" w:color="CBCDD1" w:sz="6" w:space="0"/>
              <w:left w:val="single" w:color="999999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</w:tr>
    </w:tbl>
    <w:p>
      <w:pPr>
        <w:snapToGrid/>
        <w:spacing w:before="0" w:after="0" w:line="600" w:lineRule="exact"/>
        <w:ind w:left="0" w:right="0"/>
        <w:jc w:val="left"/>
      </w:pPr>
      <w:r>
        <w:rPr>
          <w:rFonts w:ascii="黑体" w:hAnsi="黑体" w:eastAsia="黑体" w:cs="黑体"/>
          <w:i w:val="0"/>
          <w:strike w:val="0"/>
          <w:color w:val="000000"/>
          <w:sz w:val="32"/>
          <w:u w:val="none"/>
        </w:rPr>
        <w:t> </w:t>
      </w:r>
    </w:p>
    <w:p>
      <w:pPr>
        <w:snapToGrid/>
        <w:spacing w:before="0" w:after="12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strike w:val="0"/>
          <w:color w:val="000000"/>
          <w:sz w:val="44"/>
          <w:u w:val="none"/>
        </w:rPr>
        <w:t> </w:t>
      </w:r>
    </w:p>
    <w:p>
      <w:pPr>
        <w:snapToGrid/>
        <w:spacing w:before="0" w:after="12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strike w:val="0"/>
          <w:color w:val="000000"/>
          <w:sz w:val="44"/>
          <w:u w:val="none"/>
        </w:rPr>
        <w:t> </w:t>
      </w:r>
    </w:p>
    <w:p>
      <w:pPr>
        <w:snapToGrid/>
        <w:spacing w:before="0" w:after="12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strike w:val="0"/>
          <w:color w:val="000000"/>
          <w:sz w:val="44"/>
          <w:u w:val="none"/>
        </w:rPr>
        <w:t> </w:t>
      </w:r>
    </w:p>
    <w:p>
      <w:pPr>
        <w:snapToGrid/>
        <w:spacing w:before="0" w:after="12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strike w:val="0"/>
          <w:color w:val="000000"/>
          <w:sz w:val="44"/>
          <w:u w:val="none"/>
        </w:rPr>
        <w:t> </w:t>
      </w:r>
    </w:p>
    <w:p>
      <w:pPr>
        <w:snapToGrid/>
        <w:spacing w:before="0" w:after="12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strike w:val="0"/>
          <w:color w:val="000000"/>
          <w:sz w:val="44"/>
          <w:u w:val="none"/>
        </w:rPr>
        <w:t>2024年高校毕业生招聘计划表（本科以上学历）</w:t>
      </w:r>
    </w:p>
    <w:tbl>
      <w:tblPr>
        <w:tblStyle w:val="5"/>
        <w:tblW w:w="0" w:type="auto"/>
        <w:jc w:val="center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single" w:color="999999" w:sz="6" w:space="0"/>
          <w:insideV w:val="single" w:color="999999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80"/>
        <w:gridCol w:w="5520"/>
        <w:gridCol w:w="1395"/>
        <w:gridCol w:w="885"/>
        <w:gridCol w:w="1965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招聘单位</w:t>
            </w:r>
          </w:p>
        </w:tc>
        <w:tc>
          <w:tcPr>
            <w:tcW w:w="22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招聘岗位</w:t>
            </w:r>
          </w:p>
        </w:tc>
        <w:tc>
          <w:tcPr>
            <w:tcW w:w="5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招聘专业</w:t>
            </w:r>
          </w:p>
        </w:tc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最低学历要求</w:t>
            </w:r>
          </w:p>
        </w:tc>
        <w:tc>
          <w:tcPr>
            <w:tcW w:w="8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招聘人数</w:t>
            </w:r>
          </w:p>
        </w:tc>
        <w:tc>
          <w:tcPr>
            <w:tcW w:w="1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552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13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88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南昌卷烟厂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8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机电设备维修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机械类（不含车辆工程、汽车服务工程）、材料成型及控制工程、电气类、自动化类、电子信息类相关专业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江西省南昌市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信息设备维修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计算机类、电子信息类、信息管理与信息系统相关专业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生产操作岗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理学、工学、农学类专业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哲学、经济学、法学、文学、历史学、管理学类专业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赣州卷烟厂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12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机电设备维修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机械类（不含车辆工程、汽车服务工程）、材料成型及控制工程、电气类、自动化类、电子信息类相关专业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8</w:t>
            </w:r>
          </w:p>
        </w:tc>
        <w:tc>
          <w:tcPr>
            <w:tcW w:w="1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江西省赣州市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生产操作岗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理学、工学、农学类专业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哲学、经济学、法学、文学、历史学、管理学类专业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广丰卷烟厂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14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机电、信息设备维修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机械类（不含车辆工程、汽车服务工程）、材料成型及控制工程、电气类、自动化类、计算机类、电子信息类、信息管理与信息系统相关专业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7</w:t>
            </w:r>
          </w:p>
        </w:tc>
        <w:tc>
          <w:tcPr>
            <w:tcW w:w="1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江西省上饶市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统计岗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统计学类、经济统计学、数学相关专业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60" w:lineRule="exac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60" w:lineRule="exact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烟草工艺岗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烟草学、化学、应用化学、化学工程与技术相关专业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60" w:lineRule="exac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60" w:lineRule="exact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生产操作岗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理学、工学、农学类专业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哲学、经济学、法学、文学、历史学、管理学类专业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井冈山卷烟厂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（共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16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人）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机电设备维修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机械类（不含车辆工程、汽车服务工程）、材料成型及控制工程、电气类、自动化类、电子信息类相关专业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8</w:t>
            </w:r>
          </w:p>
        </w:tc>
        <w:tc>
          <w:tcPr>
            <w:tcW w:w="1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江西省吉安市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文秘</w:t>
            </w: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党务工作岗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哲学（马克思主义哲学、中国哲学、逻辑学）、中国语言文学、新闻传播学、历史学、法学（法学理论、民商法学、诉讼法学、经济法学）相关专业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会计岗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会计学、财务管理相关专业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规范管理岗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法学（法学理论、民商法学、诉讼法学、经济法学）相关专业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1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生产操作岗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理学、工学、农学类专业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22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哲学、经济学、法学、文学、历史学、管理学类专业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本科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strike w:val="0"/>
                <w:color w:val="000000"/>
                <w:spacing w:val="0"/>
                <w:sz w:val="24"/>
                <w:u w:val="none"/>
              </w:rPr>
              <w:t>2</w:t>
            </w:r>
          </w:p>
        </w:tc>
        <w:tc>
          <w:tcPr>
            <w:tcW w:w="19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 w:lineRule="auto"/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0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合计</w:t>
            </w: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50</w:t>
            </w:r>
            <w:r>
              <w:rPr>
                <w:rFonts w:ascii="仿宋_GB2312" w:hAnsi="仿宋_GB2312" w:eastAsia="仿宋_GB2312" w:cs="仿宋_GB2312"/>
                <w:b/>
                <w:i w:val="0"/>
                <w:strike w:val="0"/>
                <w:color w:val="000000"/>
                <w:spacing w:val="0"/>
                <w:sz w:val="24"/>
                <w:u w:val="none"/>
              </w:rPr>
              <w:t>人</w:t>
            </w:r>
          </w:p>
        </w:tc>
      </w:tr>
    </w:tbl>
    <w:p>
      <w:pPr>
        <w:snapToGrid/>
        <w:spacing w:before="0" w:after="0" w:line="240" w:lineRule="auto"/>
        <w:ind w:left="0" w:right="0"/>
        <w:jc w:val="left"/>
      </w:pPr>
      <w:r>
        <w:rPr>
          <w:rFonts w:ascii="Times New Roman" w:hAnsi="Times New Roman" w:eastAsia="Times New Roman" w:cs="Times New Roman"/>
          <w:i w:val="0"/>
          <w:strike w:val="0"/>
          <w:color w:val="000000"/>
          <w:sz w:val="32"/>
          <w:u w:val="none"/>
        </w:rPr>
        <w:t> </w:t>
      </w:r>
    </w:p>
    <w:p>
      <w:pPr>
        <w:snapToGrid/>
        <w:spacing w:line="240" w:lineRule="auto"/>
      </w:pPr>
    </w:p>
    <w:sectPr>
      <w:pgSz w:w="16838" w:h="11905"/>
      <w:pgMar w:top="1417" w:right="1361" w:bottom="1417" w:left="1361" w:header="720" w:footer="720" w:gutter="0"/>
      <w:cols w:space="720" w:num="1"/>
      <w:docGrid w:type="lines" w:linePitch="41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A0"/>
    <w:rsid w:val="00680AC3"/>
    <w:rsid w:val="007452DF"/>
    <w:rsid w:val="00E023A0"/>
    <w:rsid w:val="7063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240" w:lineRule="auto"/>
      <w:jc w:val="left"/>
    </w:pPr>
    <w:rPr>
      <w:color w:val="333333"/>
      <w:kern w:val="2"/>
      <w:sz w:val="22"/>
      <w:szCs w:val="22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5">
    <w:name w:val="Table Grid"/>
    <w:basedOn w:val="4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7">
    <w:name w:val="Hyperlink"/>
    <w:basedOn w:val="6"/>
    <w:unhideWhenUsed/>
    <w:uiPriority w:val="99"/>
    <w:rPr>
      <w:color w:val="1E6F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melo-codeblock-Base-theme-char"/>
    <w:uiPriority w:val="0"/>
    <w:rPr>
      <w:rFonts w:ascii="Monaco" w:hAnsi="Monaco" w:eastAsia="Monaco" w:cs="Monaco"/>
      <w:color w:val="000000"/>
      <w:sz w:val="21"/>
    </w:rPr>
  </w:style>
  <w:style w:type="paragraph" w:customStyle="1" w:styleId="9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E6FFF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2024-03-28T10:00:00Z</dcterms:created>
  <dc:creator>81503</dc:creator>
  <cp:lastModifiedBy>旧</cp:lastModifiedBy>
  <dcterms:modified xsi:type="dcterms:W3CDTF">2024-03-28T02:00:25Z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C18B9C171140438F9AA54BA68E44B428_13</vt:lpwstr>
  </property>
</Properties>
</file>