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附件1: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  <w:t>温州滨海新城投资集团有限公司招聘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  <w:lang w:eastAsia="zh-CN"/>
        </w:rPr>
        <w:t>编外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  <w:t>工作人员一览表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</w:pPr>
    </w:p>
    <w:tbl>
      <w:tblPr>
        <w:tblStyle w:val="3"/>
        <w:tblW w:w="13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20"/>
        <w:gridCol w:w="10"/>
        <w:gridCol w:w="1690"/>
        <w:gridCol w:w="1421"/>
        <w:gridCol w:w="2676"/>
        <w:gridCol w:w="1440"/>
        <w:gridCol w:w="1803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3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03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73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财务岗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89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以后出生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财务管理 或者 财务信息管理 或者 会计 或者 大数据与会计 或者 涉外会计 或者 财务电算化 或者 会计与审计 或者 会计信息管理 或者 会计信息技术 或者 会计学 或者 会计电算化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具备初级会计师职称，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年及以上工作经验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工资福利待遇面议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01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</w:rPr>
              <w:t>合计</w:t>
            </w:r>
          </w:p>
        </w:tc>
        <w:tc>
          <w:tcPr>
            <w:tcW w:w="11090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val="en-US" w:eastAsia="zh-CN"/>
              </w:rPr>
              <w:t>3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ind w:firstLine="42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spacing w:val="-15"/>
          <w:sz w:val="24"/>
          <w:szCs w:val="24"/>
          <w:shd w:val="clear" w:color="auto" w:fill="FFFFFF"/>
          <w:lang w:eastAsia="zh-CN"/>
        </w:rPr>
        <w:t>备注：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pacing w:val="-15"/>
          <w:sz w:val="24"/>
          <w:szCs w:val="24"/>
          <w:shd w:val="clear" w:color="auto" w:fill="FFFFFF"/>
          <w:lang w:val="en-US" w:eastAsia="zh-CN"/>
        </w:rPr>
        <w:t>参加工作年限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pacing w:val="-15"/>
          <w:sz w:val="24"/>
          <w:szCs w:val="24"/>
          <w:shd w:val="clear" w:color="auto" w:fill="FFFFFF"/>
          <w:lang w:eastAsia="zh-CN"/>
        </w:rPr>
        <w:t>以社保缴费记录为准。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YTVhMjI2NDlmZWZkMzgwMGRiMWRmM2E1NzdhYTUifQ=="/>
  </w:docVars>
  <w:rsids>
    <w:rsidRoot w:val="022E1AF0"/>
    <w:rsid w:val="022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中铁城建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2024-02-19T03:18:00Z</dcterms:created>
  <dc:creator>WPS_1612438671</dc:creator>
  <cp:lastModifiedBy>WPS_1612438671</cp:lastModifiedBy>
  <dcterms:modified xsi:type="dcterms:W3CDTF">2024-02-19T03:19:27Z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B7E639C45A07443AABCB2DF78C0A110A_11</vt:lpwstr>
  </property>
</Properties>
</file>