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附件4</w:t>
      </w:r>
    </w:p>
    <w:p>
      <w:pPr>
        <w:jc w:val="center"/>
        <w:rPr>
          <w:rFonts w:hint="eastAsia" w:ascii="方正小标宋_GBK" w:eastAsia="方正小标宋_GBK"/>
          <w:sz w:val="44"/>
          <w:szCs w:val="44"/>
        </w:rPr>
      </w:pPr>
      <w:r>
        <w:rPr>
          <w:rFonts w:hint="eastAsia" w:ascii="Times New Roman" w:hAnsi="Times New Roman" w:eastAsia="方正小标宋_GBK"/>
          <w:sz w:val="44"/>
          <w:szCs w:val="44"/>
        </w:rPr>
        <w:t>2024</w:t>
      </w:r>
      <w:r>
        <w:rPr>
          <w:rFonts w:hint="eastAsia" w:ascii="方正小标宋_GBK" w:eastAsia="方正小标宋_GBK"/>
          <w:sz w:val="44"/>
          <w:szCs w:val="44"/>
        </w:rPr>
        <w:t>年度泰州市青年人才选聘岗位简介表（党政类岗位）</w:t>
      </w:r>
    </w:p>
    <w:tbl>
      <w:tblPr>
        <w:tblStyle w:val="4"/>
        <w:tblW w:w="512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32"/>
        <w:gridCol w:w="594"/>
        <w:gridCol w:w="993"/>
        <w:gridCol w:w="993"/>
        <w:gridCol w:w="708"/>
        <w:gridCol w:w="568"/>
        <w:gridCol w:w="993"/>
        <w:gridCol w:w="2834"/>
        <w:gridCol w:w="2628"/>
        <w:gridCol w:w="1073"/>
        <w:gridCol w:w="571"/>
        <w:gridCol w:w="829"/>
        <w:gridCol w:w="18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300"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地区</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名称</w:t>
            </w:r>
          </w:p>
        </w:tc>
        <w:tc>
          <w:tcPr>
            <w:tcW w:w="511" w:type="pct"/>
            <w:gridSpan w:val="2"/>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kern w:val="0"/>
                <w:sz w:val="20"/>
                <w:szCs w:val="20"/>
              </w:rPr>
            </w:pPr>
            <w:r>
              <w:rPr>
                <w:rFonts w:hint="eastAsia" w:ascii="宋体" w:hAnsi="宋体" w:eastAsia="宋体" w:cs="Times New Roman"/>
                <w:b/>
                <w:bCs/>
                <w:kern w:val="0"/>
                <w:sz w:val="20"/>
                <w:szCs w:val="20"/>
              </w:rPr>
              <w:t>选聘单位</w:t>
            </w:r>
          </w:p>
        </w:tc>
        <w:tc>
          <w:tcPr>
            <w:tcW w:w="319"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类别</w:t>
            </w:r>
          </w:p>
        </w:tc>
        <w:tc>
          <w:tcPr>
            <w:tcW w:w="228"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代码</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kern w:val="0"/>
                <w:sz w:val="20"/>
                <w:szCs w:val="20"/>
              </w:rPr>
            </w:pPr>
            <w:r>
              <w:rPr>
                <w:rFonts w:hint="eastAsia" w:ascii="宋体" w:hAnsi="宋体" w:eastAsia="宋体" w:cs="Times New Roman"/>
                <w:b/>
                <w:bCs/>
                <w:kern w:val="0"/>
                <w:sz w:val="20"/>
                <w:szCs w:val="20"/>
              </w:rPr>
              <w:t>选聘</w:t>
            </w:r>
            <w:r>
              <w:rPr>
                <w:rFonts w:hint="eastAsia" w:ascii="宋体" w:hAnsi="宋体" w:eastAsia="宋体" w:cs="Times New Roman"/>
                <w:b/>
                <w:bCs/>
                <w:kern w:val="0"/>
                <w:sz w:val="20"/>
                <w:szCs w:val="20"/>
              </w:rPr>
              <w:br w:type="textWrapping"/>
            </w:r>
            <w:r>
              <w:rPr>
                <w:rFonts w:hint="eastAsia" w:ascii="宋体" w:hAnsi="宋体" w:eastAsia="宋体" w:cs="Times New Roman"/>
                <w:b/>
                <w:bCs/>
                <w:kern w:val="0"/>
                <w:sz w:val="20"/>
                <w:szCs w:val="20"/>
              </w:rPr>
              <w:t>人数</w:t>
            </w:r>
          </w:p>
        </w:tc>
        <w:tc>
          <w:tcPr>
            <w:tcW w:w="2079" w:type="pct"/>
            <w:gridSpan w:val="3"/>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选聘条件</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联系方式</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开考</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比例</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考试</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形式</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kern w:val="0"/>
                <w:sz w:val="20"/>
                <w:szCs w:val="20"/>
              </w:rPr>
            </w:pPr>
            <w:r>
              <w:rPr>
                <w:rFonts w:hint="eastAsia" w:ascii="宋体" w:hAnsi="宋体" w:eastAsia="宋体" w:cs="Times New Roman"/>
                <w:b/>
                <w:bCs/>
                <w:kern w:val="0"/>
                <w:sz w:val="20"/>
                <w:szCs w:val="20"/>
              </w:rPr>
              <w:t>优惠政策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300"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单位</w:t>
            </w:r>
          </w:p>
          <w:p>
            <w:pPr>
              <w:widowControl/>
              <w:spacing w:line="240" w:lineRule="exact"/>
              <w:jc w:val="center"/>
              <w:rPr>
                <w:rFonts w:ascii="Times New Roman" w:hAnsi="Times New Roman" w:eastAsia="宋体" w:cs="Times New Roman"/>
                <w:b/>
                <w:bCs/>
                <w:kern w:val="0"/>
                <w:sz w:val="20"/>
                <w:szCs w:val="20"/>
              </w:rPr>
            </w:pPr>
            <w:r>
              <w:rPr>
                <w:rFonts w:hint="eastAsia" w:ascii="宋体" w:hAnsi="宋体" w:eastAsia="宋体" w:cs="Times New Roman"/>
                <w:b/>
                <w:bCs/>
                <w:kern w:val="0"/>
                <w:sz w:val="20"/>
                <w:szCs w:val="20"/>
              </w:rPr>
              <w:t>代码</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单位全称</w:t>
            </w:r>
          </w:p>
        </w:tc>
        <w:tc>
          <w:tcPr>
            <w:tcW w:w="31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228"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b/>
                <w:bCs/>
                <w:kern w:val="0"/>
                <w:sz w:val="20"/>
                <w:szCs w:val="20"/>
              </w:rPr>
            </w:pP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kern w:val="0"/>
                <w:sz w:val="20"/>
                <w:szCs w:val="20"/>
              </w:rPr>
            </w:pPr>
            <w:r>
              <w:rPr>
                <w:rFonts w:hint="eastAsia" w:ascii="宋体" w:hAnsi="宋体" w:eastAsia="宋体" w:cs="Times New Roman"/>
                <w:b/>
                <w:bCs/>
                <w:kern w:val="0"/>
                <w:sz w:val="20"/>
                <w:szCs w:val="20"/>
              </w:rPr>
              <w:t>学历</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kern w:val="0"/>
                <w:sz w:val="20"/>
                <w:szCs w:val="20"/>
              </w:rPr>
            </w:pPr>
            <w:r>
              <w:rPr>
                <w:rFonts w:hint="eastAsia" w:ascii="宋体" w:hAnsi="宋体" w:eastAsia="宋体" w:cs="Times New Roman"/>
                <w:b/>
                <w:bCs/>
                <w:kern w:val="0"/>
                <w:sz w:val="20"/>
                <w:szCs w:val="20"/>
              </w:rPr>
              <w:t>专业</w:t>
            </w:r>
          </w:p>
        </w:tc>
        <w:tc>
          <w:tcPr>
            <w:tcW w:w="846"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其他条件</w:t>
            </w: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b/>
                <w:bCs/>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b/>
                <w:bCs/>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泰州市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10</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硕士研究生及以上或C9本科</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restart"/>
            <w:shd w:val="clear" w:color="auto" w:fill="auto"/>
            <w:tcMar>
              <w:top w:w="28" w:type="dxa"/>
              <w:left w:w="57" w:type="dxa"/>
              <w:bottom w:w="28" w:type="dxa"/>
              <w:right w:w="57" w:type="dxa"/>
            </w:tcMar>
            <w:vAlign w:val="center"/>
          </w:tcPr>
          <w:p>
            <w:pPr>
              <w:widowControl/>
              <w:numPr>
                <w:ilvl w:val="0"/>
                <w:numId w:val="0"/>
              </w:numPr>
              <w:spacing w:line="240" w:lineRule="exac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SA"/>
              </w:rPr>
              <w:t>1.</w:t>
            </w:r>
            <w:r>
              <w:rPr>
                <w:rFonts w:hint="eastAsia" w:ascii="宋体" w:hAnsi="宋体" w:eastAsia="宋体" w:cs="宋体"/>
                <w:kern w:val="0"/>
                <w:sz w:val="20"/>
                <w:szCs w:val="20"/>
                <w:lang w:val="en-US" w:eastAsia="zh-CN"/>
              </w:rPr>
              <w:t>研究生</w:t>
            </w:r>
            <w:r>
              <w:rPr>
                <w:rFonts w:hint="eastAsia" w:ascii="宋体" w:hAnsi="宋体" w:eastAsia="宋体" w:cs="宋体"/>
                <w:kern w:val="0"/>
                <w:sz w:val="20"/>
                <w:szCs w:val="20"/>
              </w:rPr>
              <w:t>毕业院校</w:t>
            </w:r>
            <w:r>
              <w:rPr>
                <w:rFonts w:hint="eastAsia" w:ascii="宋体" w:hAnsi="宋体" w:eastAsia="宋体" w:cs="宋体"/>
                <w:kern w:val="0"/>
                <w:sz w:val="20"/>
                <w:szCs w:val="20"/>
                <w:lang w:val="en-US" w:eastAsia="zh-CN"/>
              </w:rPr>
              <w:t>须为</w:t>
            </w:r>
            <w:r>
              <w:rPr>
                <w:rFonts w:hint="eastAsia" w:ascii="宋体" w:hAnsi="宋体" w:eastAsia="宋体" w:cs="宋体"/>
                <w:kern w:val="0"/>
                <w:sz w:val="20"/>
                <w:szCs w:val="20"/>
              </w:rPr>
              <w:t>第一轮“一流大学”建设高校</w:t>
            </w:r>
            <w:r>
              <w:rPr>
                <w:rFonts w:hint="eastAsia" w:ascii="宋体" w:hAnsi="宋体" w:eastAsia="宋体" w:cs="宋体"/>
                <w:kern w:val="0"/>
                <w:sz w:val="20"/>
                <w:szCs w:val="20"/>
                <w:lang w:val="en-US" w:eastAsia="zh-CN"/>
              </w:rPr>
              <w:t>或</w:t>
            </w:r>
            <w:r>
              <w:rPr>
                <w:rFonts w:hint="eastAsia" w:ascii="宋体" w:hAnsi="宋体" w:eastAsia="宋体" w:cs="宋体"/>
                <w:kern w:val="0"/>
                <w:sz w:val="20"/>
                <w:szCs w:val="20"/>
              </w:rPr>
              <w:t>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且本科阶段</w:t>
            </w:r>
            <w:r>
              <w:rPr>
                <w:rFonts w:hint="eastAsia" w:ascii="宋体" w:hAnsi="宋体" w:eastAsia="宋体" w:cs="宋体"/>
                <w:kern w:val="0"/>
                <w:sz w:val="20"/>
                <w:szCs w:val="20"/>
              </w:rPr>
              <w:t>毕业院校应具备</w:t>
            </w:r>
            <w:r>
              <w:rPr>
                <w:rFonts w:hint="eastAsia" w:ascii="宋体" w:hAnsi="宋体" w:eastAsia="宋体" w:cs="宋体"/>
                <w:kern w:val="0"/>
                <w:sz w:val="20"/>
                <w:szCs w:val="20"/>
                <w:lang w:val="en-US" w:eastAsia="zh-CN"/>
              </w:rPr>
              <w:t>以下</w:t>
            </w:r>
            <w:r>
              <w:rPr>
                <w:rFonts w:hint="eastAsia" w:ascii="宋体" w:hAnsi="宋体" w:eastAsia="宋体" w:cs="宋体"/>
                <w:kern w:val="0"/>
                <w:sz w:val="20"/>
                <w:szCs w:val="20"/>
              </w:rPr>
              <w:t>条件之一：</w:t>
            </w:r>
            <w:r>
              <w:rPr>
                <w:rFonts w:hint="eastAsia" w:ascii="宋体" w:hAnsi="宋体" w:eastAsia="宋体" w:cs="宋体"/>
                <w:kern w:val="0"/>
                <w:sz w:val="20"/>
                <w:szCs w:val="20"/>
              </w:rPr>
              <w:br w:type="textWrapping"/>
            </w:r>
            <w:r>
              <w:rPr>
                <w:rFonts w:ascii="宋体" w:hAnsi="宋体" w:eastAsia="宋体" w:cs="宋体"/>
                <w:kern w:val="0"/>
                <w:sz w:val="20"/>
                <w:szCs w:val="20"/>
              </w:rPr>
              <w:t>①</w:t>
            </w:r>
            <w:r>
              <w:rPr>
                <w:rFonts w:hint="eastAsia" w:ascii="宋体" w:hAnsi="宋体" w:eastAsia="宋体" w:cs="宋体"/>
                <w:kern w:val="0"/>
                <w:sz w:val="20"/>
                <w:szCs w:val="20"/>
              </w:rPr>
              <w:t>第一轮“一流大学”建设高校；</w:t>
            </w:r>
            <w:r>
              <w:rPr>
                <w:rFonts w:hint="eastAsia" w:ascii="宋体" w:hAnsi="宋体" w:eastAsia="宋体" w:cs="宋体"/>
                <w:kern w:val="0"/>
                <w:sz w:val="20"/>
                <w:szCs w:val="20"/>
              </w:rPr>
              <w:br w:type="textWrapping"/>
            </w:r>
            <w:r>
              <w:rPr>
                <w:rFonts w:ascii="宋体" w:hAnsi="宋体" w:eastAsia="宋体" w:cs="宋体"/>
                <w:kern w:val="0"/>
                <w:sz w:val="20"/>
                <w:szCs w:val="20"/>
              </w:rPr>
              <w:t>②</w:t>
            </w:r>
            <w:r>
              <w:rPr>
                <w:rFonts w:hint="eastAsia" w:ascii="宋体" w:hAnsi="宋体" w:eastAsia="宋体" w:cs="宋体"/>
                <w:kern w:val="0"/>
                <w:sz w:val="20"/>
                <w:szCs w:val="20"/>
              </w:rPr>
              <w:t>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w:t>
            </w:r>
            <w:r>
              <w:rPr>
                <w:rFonts w:hint="eastAsia" w:ascii="宋体" w:hAnsi="宋体" w:eastAsia="宋体" w:cs="宋体"/>
                <w:kern w:val="0"/>
                <w:sz w:val="20"/>
                <w:szCs w:val="20"/>
              </w:rPr>
              <w:br w:type="textWrapping"/>
            </w:r>
            <w:r>
              <w:rPr>
                <w:rFonts w:ascii="宋体" w:hAnsi="宋体" w:eastAsia="宋体" w:cs="宋体"/>
                <w:kern w:val="0"/>
                <w:sz w:val="20"/>
                <w:szCs w:val="20"/>
              </w:rPr>
              <w:t>③</w:t>
            </w:r>
            <w:r>
              <w:rPr>
                <w:rFonts w:hint="eastAsia" w:ascii="宋体" w:hAnsi="宋体" w:eastAsia="宋体" w:cs="宋体"/>
                <w:kern w:val="0"/>
                <w:sz w:val="20"/>
                <w:szCs w:val="20"/>
              </w:rPr>
              <w:t>第二轮“双一流”建设高校。</w:t>
            </w:r>
          </w:p>
          <w:p>
            <w:pPr>
              <w:widowControl/>
              <w:spacing w:line="240" w:lineRule="exac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2.本科生毕业院校须为</w:t>
            </w:r>
            <w:r>
              <w:rPr>
                <w:rFonts w:ascii="Times New Roman" w:hAnsi="Times New Roman" w:eastAsia="宋体" w:cs="Times New Roman"/>
                <w:kern w:val="0"/>
                <w:sz w:val="20"/>
                <w:szCs w:val="20"/>
              </w:rPr>
              <w:t>C9</w:t>
            </w:r>
            <w:r>
              <w:rPr>
                <w:rFonts w:hint="eastAsia" w:ascii="宋体" w:hAnsi="宋体" w:eastAsia="宋体" w:cs="Times New Roman"/>
                <w:kern w:val="0"/>
                <w:sz w:val="20"/>
                <w:szCs w:val="20"/>
              </w:rPr>
              <w:t>重点高校</w:t>
            </w:r>
            <w:r>
              <w:rPr>
                <w:rFonts w:hint="eastAsia" w:ascii="宋体" w:hAnsi="宋体" w:eastAsia="宋体" w:cs="Times New Roman"/>
                <w:kern w:val="0"/>
                <w:sz w:val="20"/>
                <w:szCs w:val="20"/>
                <w:lang w:eastAsia="zh-CN"/>
              </w:rPr>
              <w:t>。</w:t>
            </w:r>
          </w:p>
          <w:p>
            <w:pPr>
              <w:widowControl/>
              <w:numPr>
                <w:ilvl w:val="0"/>
                <w:numId w:val="0"/>
              </w:numPr>
              <w:spacing w:line="240" w:lineRule="exact"/>
              <w:rPr>
                <w:rFonts w:hint="default" w:ascii="宋体" w:hAnsi="宋体" w:eastAsia="宋体" w:cs="宋体"/>
                <w:kern w:val="0"/>
                <w:sz w:val="20"/>
                <w:szCs w:val="20"/>
                <w:lang w:val="en-US" w:eastAsia="zh-CN"/>
              </w:rPr>
            </w:pPr>
          </w:p>
          <w:p>
            <w:pPr>
              <w:widowControl/>
              <w:numPr>
                <w:ilvl w:val="0"/>
                <w:numId w:val="0"/>
              </w:numPr>
              <w:spacing w:line="240" w:lineRule="exact"/>
              <w:rPr>
                <w:rFonts w:hint="eastAsia" w:ascii="宋体" w:hAnsi="宋体" w:eastAsia="宋体" w:cs="宋体"/>
                <w:kern w:val="0"/>
                <w:sz w:val="20"/>
                <w:szCs w:val="20"/>
              </w:rPr>
            </w:pP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电子邮箱：tzswzzbghb@163.com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咨询电话：0523-86886632、86886269</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Times New Roman" w:hAnsi="Times New Roman" w:eastAsia="宋体" w:cs="宋体"/>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82" w:type="pct"/>
            <w:vMerge w:val="restart"/>
            <w:shd w:val="clear" w:color="auto" w:fill="auto"/>
            <w:tcMar>
              <w:top w:w="28" w:type="dxa"/>
              <w:left w:w="57" w:type="dxa"/>
              <w:bottom w:w="28" w:type="dxa"/>
              <w:right w:w="57" w:type="dxa"/>
            </w:tcMar>
            <w:vAlign w:val="center"/>
          </w:tcPr>
          <w:p>
            <w:pPr>
              <w:widowControl/>
              <w:numPr>
                <w:ilvl w:val="0"/>
                <w:numId w:val="0"/>
              </w:numPr>
              <w:spacing w:line="240" w:lineRule="exact"/>
              <w:rPr>
                <w:rFonts w:ascii="Times New Roman" w:hAnsi="Times New Roman" w:eastAsia="宋体" w:cs="Times New Roman"/>
                <w:kern w:val="0"/>
                <w:sz w:val="20"/>
                <w:szCs w:val="20"/>
              </w:rPr>
            </w:pPr>
            <w:r>
              <w:rPr>
                <w:rFonts w:hint="eastAsia" w:ascii="宋体" w:hAnsi="宋体" w:eastAsia="宋体" w:cs="Times New Roman"/>
                <w:kern w:val="0"/>
                <w:sz w:val="20"/>
                <w:szCs w:val="20"/>
                <w:lang w:val="en-US" w:eastAsia="zh-CN" w:bidi="ar-SA"/>
              </w:rPr>
              <w:t>1.</w:t>
            </w:r>
            <w:r>
              <w:rPr>
                <w:rFonts w:hint="eastAsia" w:ascii="宋体" w:hAnsi="宋体" w:eastAsia="宋体" w:cs="Times New Roman"/>
                <w:kern w:val="0"/>
                <w:sz w:val="20"/>
                <w:szCs w:val="20"/>
              </w:rPr>
              <w:t>试用期满考核合格、符合任职条件、表现优秀的</w:t>
            </w:r>
            <w:r>
              <w:rPr>
                <w:rFonts w:hint="eastAsia" w:ascii="宋体" w:hAnsi="宋体" w:eastAsia="宋体" w:cs="Times New Roman"/>
                <w:kern w:val="0"/>
                <w:sz w:val="20"/>
                <w:szCs w:val="20"/>
                <w:lang w:val="en-US" w:eastAsia="zh-CN"/>
              </w:rPr>
              <w:t>博士研究生</w:t>
            </w:r>
            <w:r>
              <w:rPr>
                <w:rFonts w:hint="eastAsia" w:ascii="宋体" w:hAnsi="宋体" w:eastAsia="宋体" w:cs="Times New Roman"/>
                <w:kern w:val="0"/>
                <w:sz w:val="20"/>
                <w:szCs w:val="20"/>
              </w:rPr>
              <w:t>择优聘</w:t>
            </w:r>
            <w:r>
              <w:rPr>
                <w:rFonts w:ascii="Times New Roman" w:hAnsi="Times New Roman" w:eastAsia="宋体" w:cs="Times New Roman"/>
                <w:kern w:val="0"/>
                <w:sz w:val="20"/>
                <w:szCs w:val="20"/>
              </w:rPr>
              <w:t>7</w:t>
            </w:r>
            <w:r>
              <w:rPr>
                <w:rFonts w:hint="eastAsia" w:ascii="宋体" w:hAnsi="宋体" w:eastAsia="宋体" w:cs="Times New Roman"/>
                <w:kern w:val="0"/>
                <w:sz w:val="20"/>
                <w:szCs w:val="20"/>
              </w:rPr>
              <w:t>级管理岗</w:t>
            </w:r>
            <w:r>
              <w:rPr>
                <w:rFonts w:hint="eastAsia" w:ascii="宋体" w:hAnsi="宋体" w:eastAsia="宋体" w:cs="Times New Roman"/>
                <w:kern w:val="0"/>
                <w:sz w:val="20"/>
                <w:szCs w:val="20"/>
                <w:lang w:eastAsia="zh-CN"/>
              </w:rPr>
              <w:t>、</w:t>
            </w:r>
            <w:r>
              <w:rPr>
                <w:rFonts w:hint="eastAsia" w:ascii="宋体" w:hAnsi="宋体" w:eastAsia="宋体" w:cs="Times New Roman"/>
                <w:kern w:val="0"/>
                <w:sz w:val="20"/>
                <w:szCs w:val="20"/>
                <w:lang w:val="en-US" w:eastAsia="zh-CN"/>
              </w:rPr>
              <w:t>硕士研究生择优聘8级管理岗</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博士研究生发放</w:t>
            </w:r>
            <w:r>
              <w:rPr>
                <w:rFonts w:ascii="Times New Roman" w:hAnsi="Times New Roman" w:eastAsia="宋体" w:cs="Times New Roman"/>
                <w:kern w:val="0"/>
                <w:sz w:val="20"/>
                <w:szCs w:val="20"/>
              </w:rPr>
              <w:t>15</w:t>
            </w:r>
            <w:r>
              <w:rPr>
                <w:rFonts w:hint="eastAsia" w:ascii="宋体" w:hAnsi="宋体" w:eastAsia="宋体" w:cs="Times New Roman"/>
                <w:kern w:val="0"/>
                <w:sz w:val="20"/>
                <w:szCs w:val="20"/>
              </w:rPr>
              <w:t>万元安家补贴和为期</w:t>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万元</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年的生活补贴，硕士研究生发放</w:t>
            </w:r>
            <w:r>
              <w:rPr>
                <w:rFonts w:ascii="Times New Roman" w:hAnsi="Times New Roman" w:eastAsia="宋体" w:cs="Times New Roman"/>
                <w:kern w:val="0"/>
                <w:sz w:val="20"/>
                <w:szCs w:val="20"/>
              </w:rPr>
              <w:t>6</w:t>
            </w:r>
            <w:r>
              <w:rPr>
                <w:rFonts w:hint="eastAsia" w:ascii="宋体" w:hAnsi="宋体" w:eastAsia="宋体" w:cs="Times New Roman"/>
                <w:kern w:val="0"/>
                <w:sz w:val="20"/>
                <w:szCs w:val="20"/>
              </w:rPr>
              <w:t>万元安家补贴和为期</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年、</w:t>
            </w: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万元</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年的生活补贴</w:t>
            </w:r>
            <w:r>
              <w:rPr>
                <w:rFonts w:hint="eastAsia" w:ascii="宋体" w:hAnsi="宋体" w:eastAsia="宋体" w:cs="Times New Roman"/>
                <w:kern w:val="0"/>
                <w:sz w:val="20"/>
                <w:szCs w:val="20"/>
                <w:lang w:eastAsia="zh-CN"/>
              </w:rPr>
              <w:t>（</w:t>
            </w:r>
            <w:r>
              <w:rPr>
                <w:rFonts w:hint="eastAsia" w:ascii="宋体" w:hAnsi="宋体" w:eastAsia="宋体" w:cs="Times New Roman"/>
                <w:kern w:val="0"/>
                <w:sz w:val="20"/>
                <w:szCs w:val="20"/>
                <w:lang w:val="en-US" w:eastAsia="zh-CN"/>
              </w:rPr>
              <w:t>C9本科生参照硕士研究生补贴标准执行</w:t>
            </w:r>
            <w:r>
              <w:rPr>
                <w:rFonts w:hint="eastAsia" w:ascii="宋体" w:hAnsi="宋体" w:eastAsia="宋体" w:cs="Times New Roman"/>
                <w:kern w:val="0"/>
                <w:sz w:val="20"/>
                <w:szCs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泰州市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10</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硕士研究生及以上或C9本科</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泰州市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城建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规划类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城建规划类</w:t>
            </w:r>
          </w:p>
        </w:tc>
        <w:tc>
          <w:tcPr>
            <w:tcW w:w="846"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泰州市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5</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eastAsia="zh-CN"/>
              </w:rPr>
            </w:pPr>
            <w:r>
              <w:rPr>
                <w:rFonts w:hint="eastAsia" w:ascii="宋体" w:hAnsi="宋体" w:eastAsia="宋体" w:cs="Times New Roman"/>
                <w:kern w:val="0"/>
                <w:sz w:val="20"/>
                <w:szCs w:val="20"/>
                <w:lang w:val="en-US" w:eastAsia="zh-CN"/>
              </w:rPr>
              <w:t>经济类</w:t>
            </w:r>
          </w:p>
        </w:tc>
        <w:tc>
          <w:tcPr>
            <w:tcW w:w="846"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泰州市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计算机（网络管理）类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5</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计算机（网络管理）类</w:t>
            </w:r>
          </w:p>
        </w:tc>
        <w:tc>
          <w:tcPr>
            <w:tcW w:w="846"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2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泰州市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法律类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1A-6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val="en-US" w:eastAsia="zh-CN"/>
              </w:rPr>
              <w:t>5</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法律类</w:t>
            </w:r>
          </w:p>
        </w:tc>
        <w:tc>
          <w:tcPr>
            <w:tcW w:w="846"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6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靖江市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靖江市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应具备以下条件之一：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w:t>
            </w:r>
            <w:r>
              <w:rPr>
                <w:rFonts w:hint="eastAsia" w:ascii="宋体" w:hAnsi="宋体" w:eastAsia="宋体" w:cs="宋体"/>
                <w:kern w:val="0"/>
                <w:sz w:val="20"/>
                <w:szCs w:val="20"/>
              </w:rPr>
              <w:t>第一轮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一流大学</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建设高校全日制本科毕业生；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宋体"/>
                <w:kern w:val="0"/>
                <w:sz w:val="20"/>
                <w:szCs w:val="20"/>
              </w:rPr>
              <w:t>第一轮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一流大学</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建设高校、第二轮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建设高校全日制硕士研究生及以上学历毕业生（本科须为第二轮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宋体"/>
                <w:kern w:val="0"/>
                <w:sz w:val="20"/>
                <w:szCs w:val="20"/>
              </w:rPr>
              <w:t>最新世界大学排名榜单（</w:t>
            </w:r>
            <w:r>
              <w:rPr>
                <w:rFonts w:ascii="Times New Roman" w:hAnsi="Times New Roman" w:eastAsia="宋体" w:cs="Times New Roman"/>
                <w:kern w:val="0"/>
                <w:sz w:val="20"/>
                <w:szCs w:val="20"/>
              </w:rPr>
              <w:t>QS</w:t>
            </w:r>
            <w:r>
              <w:rPr>
                <w:rFonts w:hint="eastAsia" w:ascii="宋体" w:hAnsi="宋体" w:eastAsia="宋体" w:cs="宋体"/>
                <w:kern w:val="0"/>
                <w:sz w:val="20"/>
                <w:szCs w:val="20"/>
              </w:rPr>
              <w:t>、</w:t>
            </w:r>
            <w:r>
              <w:rPr>
                <w:rFonts w:ascii="Times New Roman" w:hAnsi="Times New Roman" w:eastAsia="宋体" w:cs="Times New Roman"/>
                <w:kern w:val="0"/>
                <w:sz w:val="20"/>
                <w:szCs w:val="20"/>
              </w:rPr>
              <w:t>THE</w:t>
            </w:r>
            <w:r>
              <w:rPr>
                <w:rFonts w:hint="eastAsia" w:ascii="宋体" w:hAnsi="宋体" w:eastAsia="宋体" w:cs="宋体"/>
                <w:kern w:val="0"/>
                <w:sz w:val="20"/>
                <w:szCs w:val="20"/>
              </w:rPr>
              <w:t>、</w:t>
            </w:r>
            <w:r>
              <w:rPr>
                <w:rFonts w:ascii="Times New Roman" w:hAnsi="Times New Roman" w:eastAsia="宋体" w:cs="Times New Roman"/>
                <w:kern w:val="0"/>
                <w:sz w:val="20"/>
                <w:szCs w:val="20"/>
              </w:rPr>
              <w:t>U.S.NEWS</w:t>
            </w:r>
            <w:r>
              <w:rPr>
                <w:rFonts w:hint="eastAsia" w:ascii="宋体" w:hAnsi="宋体" w:eastAsia="宋体" w:cs="宋体"/>
                <w:kern w:val="0"/>
                <w:sz w:val="20"/>
                <w:szCs w:val="20"/>
              </w:rPr>
              <w:t>、</w:t>
            </w:r>
            <w:r>
              <w:rPr>
                <w:rFonts w:ascii="Times New Roman" w:hAnsi="Times New Roman" w:eastAsia="宋体" w:cs="Times New Roman"/>
                <w:kern w:val="0"/>
                <w:sz w:val="20"/>
                <w:szCs w:val="20"/>
              </w:rPr>
              <w:t>ARWU</w:t>
            </w:r>
            <w:r>
              <w:rPr>
                <w:rFonts w:hint="eastAsia" w:ascii="宋体" w:hAnsi="宋体" w:eastAsia="宋体" w:cs="宋体"/>
                <w:kern w:val="0"/>
                <w:sz w:val="20"/>
                <w:szCs w:val="20"/>
              </w:rPr>
              <w:t>、</w:t>
            </w:r>
            <w:r>
              <w:rPr>
                <w:rFonts w:ascii="Times New Roman" w:hAnsi="Times New Roman" w:eastAsia="宋体" w:cs="Times New Roman"/>
                <w:kern w:val="0"/>
                <w:sz w:val="20"/>
                <w:szCs w:val="20"/>
              </w:rPr>
              <w:t>CWUR</w:t>
            </w:r>
            <w:r>
              <w:rPr>
                <w:rFonts w:hint="eastAsia" w:ascii="宋体" w:hAnsi="宋体" w:eastAsia="宋体" w:cs="宋体"/>
                <w:kern w:val="0"/>
                <w:sz w:val="20"/>
                <w:szCs w:val="20"/>
              </w:rPr>
              <w:t>）前</w:t>
            </w:r>
            <w:r>
              <w:rPr>
                <w:rFonts w:ascii="Times New Roman" w:hAnsi="Times New Roman" w:eastAsia="宋体" w:cs="Times New Roman"/>
                <w:kern w:val="0"/>
                <w:sz w:val="20"/>
                <w:szCs w:val="20"/>
              </w:rPr>
              <w:t>100</w:t>
            </w:r>
            <w:r>
              <w:rPr>
                <w:rFonts w:hint="eastAsia" w:ascii="宋体" w:hAnsi="宋体" w:eastAsia="宋体" w:cs="宋体"/>
                <w:kern w:val="0"/>
                <w:sz w:val="20"/>
                <w:szCs w:val="20"/>
              </w:rPr>
              <w:t>名国（境）外高校的全日制硕士研究生及以上学历毕业生。（本科须为第二轮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建设高校全日制毕业生）。</w:t>
            </w:r>
          </w:p>
          <w:p>
            <w:pPr>
              <w:spacing w:line="240" w:lineRule="exact"/>
              <w:jc w:val="center"/>
              <w:rPr>
                <w:rFonts w:ascii="宋体" w:hAnsi="宋体" w:eastAsia="宋体" w:cs="宋体"/>
                <w:kern w:val="0"/>
                <w:sz w:val="20"/>
                <w:szCs w:val="20"/>
              </w:rPr>
            </w:pPr>
            <w:r>
              <w:rPr>
                <w:rFonts w:ascii="Times New Roman" w:hAnsi="Times New Roman" w:eastAsia="宋体" w:cs="Times New Roman"/>
                <w:kern w:val="0"/>
                <w:sz w:val="20"/>
                <w:szCs w:val="20"/>
              </w:rPr>
              <w:t>　</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电子邮箱：jjzzbrck@163.com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咨询电话：0523-89181516</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Times New Roman" w:hAnsi="Times New Roman" w:eastAsia="宋体" w:cs="宋体"/>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可申请享受生活补贴、安家补贴；</w:t>
            </w:r>
            <w:r>
              <w:rPr>
                <w:rFonts w:hint="eastAsia" w:ascii="宋体" w:hAnsi="宋体" w:eastAsia="宋体" w:cs="Times New Roman"/>
                <w:kern w:val="0"/>
                <w:sz w:val="20"/>
                <w:szCs w:val="20"/>
              </w:rPr>
              <w:br w:type="textWrapping"/>
            </w:r>
            <w:r>
              <w:rPr>
                <w:rFonts w:hint="eastAsia" w:ascii="Times New Roman" w:hAnsi="Times New Roman" w:eastAsia="宋体" w:cs="Times New Roman"/>
                <w:kern w:val="0"/>
                <w:sz w:val="20"/>
                <w:szCs w:val="20"/>
              </w:rPr>
              <w:t>2</w:t>
            </w:r>
            <w:r>
              <w:rPr>
                <w:rFonts w:hint="eastAsia" w:ascii="宋体" w:hAnsi="宋体" w:eastAsia="宋体" w:cs="Times New Roman"/>
                <w:kern w:val="0"/>
                <w:sz w:val="20"/>
                <w:szCs w:val="20"/>
              </w:rPr>
              <w:t>.外地籍学生</w:t>
            </w:r>
            <w:r>
              <w:rPr>
                <w:rFonts w:hint="eastAsia" w:ascii="Times New Roman" w:hAnsi="Times New Roman" w:eastAsia="宋体" w:cs="Times New Roman"/>
                <w:kern w:val="0"/>
                <w:sz w:val="20"/>
                <w:szCs w:val="20"/>
              </w:rPr>
              <w:t>3</w:t>
            </w:r>
            <w:r>
              <w:rPr>
                <w:rFonts w:hint="eastAsia" w:ascii="宋体" w:hAnsi="宋体" w:eastAsia="宋体" w:cs="Times New Roman"/>
                <w:kern w:val="0"/>
                <w:sz w:val="20"/>
                <w:szCs w:val="20"/>
              </w:rPr>
              <w:t>年内免费入住人才公寓。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0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靖江市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靖江市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continue"/>
            <w:tcMar>
              <w:top w:w="28" w:type="dxa"/>
              <w:left w:w="57" w:type="dxa"/>
              <w:bottom w:w="28" w:type="dxa"/>
              <w:right w:w="57" w:type="dxa"/>
            </w:tcMar>
            <w:vAlign w:val="center"/>
          </w:tcPr>
          <w:p>
            <w:pPr>
              <w:spacing w:line="240" w:lineRule="exact"/>
              <w:jc w:val="center"/>
              <w:rPr>
                <w:rFonts w:ascii="宋体" w:hAnsi="宋体" w:eastAsia="宋体" w:cs="宋体"/>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靖江市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靖江市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工程建设类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硕士研究生及以上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kern w:val="0"/>
                <w:sz w:val="20"/>
                <w:szCs w:val="20"/>
              </w:rPr>
            </w:pPr>
            <w:r>
              <w:rPr>
                <w:rFonts w:hint="eastAsia" w:ascii="宋体" w:hAnsi="宋体" w:eastAsia="宋体" w:cs="宋体"/>
                <w:kern w:val="0"/>
                <w:sz w:val="20"/>
                <w:szCs w:val="20"/>
              </w:rPr>
              <w:t>城建规划类、建筑工程类、交通工程类、水利工程类</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45"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靖江市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靖江市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经济金融类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硕士研究生及以上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kern w:val="0"/>
                <w:sz w:val="20"/>
                <w:szCs w:val="20"/>
              </w:rPr>
            </w:pPr>
            <w:r>
              <w:rPr>
                <w:rFonts w:hint="eastAsia" w:ascii="宋体" w:hAnsi="宋体" w:eastAsia="宋体" w:cs="宋体"/>
                <w:kern w:val="0"/>
                <w:sz w:val="20"/>
                <w:szCs w:val="20"/>
              </w:rPr>
              <w:t>经济类、商务贸易类、财务财会类、统计类、审计类</w:t>
            </w:r>
          </w:p>
        </w:tc>
        <w:tc>
          <w:tcPr>
            <w:tcW w:w="846"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3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靖江市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靖江市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应急管理类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2A-5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硕士研究生及以上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安全生产类</w:t>
            </w:r>
          </w:p>
        </w:tc>
        <w:tc>
          <w:tcPr>
            <w:tcW w:w="846"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宋体"/>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3A1-1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restart"/>
            <w:shd w:val="clear" w:color="auto" w:fill="auto"/>
            <w:tcMar>
              <w:top w:w="28" w:type="dxa"/>
              <w:left w:w="57" w:type="dxa"/>
              <w:bottom w:w="28" w:type="dxa"/>
              <w:right w:w="57" w:type="dxa"/>
            </w:tcMar>
            <w:vAlign w:val="center"/>
          </w:tcPr>
          <w:p>
            <w:pPr>
              <w:widowControl/>
              <w:spacing w:line="240" w:lineRule="exact"/>
              <w:rPr>
                <w:rFonts w:ascii="Times New Roman" w:hAnsi="Times New Roman" w:eastAsia="宋体" w:cs="Times New Roman"/>
                <w:kern w:val="0"/>
                <w:sz w:val="20"/>
                <w:szCs w:val="20"/>
              </w:rPr>
            </w:pPr>
            <w:r>
              <w:rPr>
                <w:rFonts w:ascii="Times New Roman" w:hAnsi="Times New Roman" w:eastAsia="宋体" w:cs="Times New Roman"/>
                <w:kern w:val="0"/>
                <w:sz w:val="20"/>
                <w:szCs w:val="20"/>
              </w:rPr>
              <w:t>1.C9</w:t>
            </w:r>
            <w:r>
              <w:rPr>
                <w:rFonts w:hint="eastAsia" w:ascii="宋体" w:hAnsi="宋体" w:eastAsia="宋体" w:cs="Times New Roman"/>
                <w:kern w:val="0"/>
                <w:sz w:val="20"/>
                <w:szCs w:val="20"/>
              </w:rPr>
              <w:t>重点高校（清华大学、北京大学、复旦大学、上海交通大学、南京大学、浙江大学、中国科学技术大学、哈尔滨工业大学、西安交通大学，下同）全日制本科学历毕业生；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2.C9</w:t>
            </w:r>
            <w:r>
              <w:rPr>
                <w:rFonts w:hint="eastAsia" w:ascii="宋体" w:hAnsi="宋体" w:eastAsia="宋体" w:cs="Times New Roman"/>
                <w:kern w:val="0"/>
                <w:sz w:val="20"/>
                <w:szCs w:val="20"/>
              </w:rPr>
              <w:t>重点高校全日制硕士研究生及以上学历毕业生（本科和研究生阶段均须为第二轮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法律类岗位须取得国家法律职业资格证书（</w:t>
            </w:r>
            <w:r>
              <w:rPr>
                <w:rFonts w:ascii="Times New Roman" w:hAnsi="Times New Roman" w:eastAsia="宋体" w:cs="Times New Roman"/>
                <w:kern w:val="0"/>
                <w:sz w:val="20"/>
                <w:szCs w:val="20"/>
              </w:rPr>
              <w:t>A</w:t>
            </w:r>
            <w:r>
              <w:rPr>
                <w:rFonts w:hint="eastAsia" w:ascii="宋体" w:hAnsi="宋体" w:eastAsia="宋体" w:cs="Times New Roman"/>
                <w:kern w:val="0"/>
                <w:sz w:val="20"/>
                <w:szCs w:val="20"/>
              </w:rPr>
              <w:t>类）。</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电子邮箱：txzzbghb@126.com</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综评</w:t>
            </w:r>
            <w:r>
              <w:rPr>
                <w:rFonts w:ascii="Times New Roman" w:hAnsi="Times New Roman" w:eastAsia="宋体" w:cs="Times New Roman"/>
                <w:kern w:val="0"/>
                <w:sz w:val="20"/>
                <w:szCs w:val="20"/>
              </w:rPr>
              <w:t>+</w:t>
            </w:r>
            <w:r>
              <w:rPr>
                <w:rFonts w:hint="eastAsia" w:ascii="宋体" w:hAnsi="宋体" w:eastAsia="宋体" w:cs="宋体"/>
                <w:kern w:val="0"/>
                <w:sz w:val="20"/>
                <w:szCs w:val="20"/>
              </w:rPr>
              <w:t>面试</w:t>
            </w:r>
          </w:p>
        </w:tc>
        <w:tc>
          <w:tcPr>
            <w:tcW w:w="582" w:type="pct"/>
            <w:vMerge w:val="restart"/>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本科生、硕士研究生、博士研究生（按符合招聘要求的最高学历）年薪分别不低于30万元、35万元、40万元（包含个人需缴纳的医保费用、养老保险、职业年金、住房公积金和个人所得税）；试用期满考核合格的，分别发放一次性入职奖励15万元、20万元、30万元；</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2.免费居住人才公寓（或给予租房补贴）3年，享受“购房券”待遇，本科生、硕士研究生、博士研究生发放标准分别为8万元、15万元、25万元；</w:t>
            </w:r>
          </w:p>
          <w:p>
            <w:pPr>
              <w:widowControl/>
              <w:spacing w:line="24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3.因选聘名额限制未被录用的，根据个人意愿及专业匹配度，可推荐至泰兴市开发园区、国有企业就业。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宋体"/>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3A1-2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3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3A1-3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经济学，国际经济与贸易，财政学，金融学，国民经济管理，贸易经济，金融工程，投资学，经济与行政管理，经济统计学，商务经济学，能源经济，金融数学，经济与金融，农村区域发展，金融管理，国际贸易，金融，统计学，税收学，电子商务，工程造价，工程管理，财务管理，应用统计学，会计，会计学，互联网金融，政治经济学，世界经济，人口、资源与环境经济学，国民经济学，区域经济学，财政学（含税收学），产业经济学，国际贸易学，劳动经济学，应用统计，资产评估，农村与区域发展，国际商务，应用经济学，审计，会计与金融</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04"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化学工程类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3A1-4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化学工程与工艺，制药工程，油气加工工程，化工与制药，化学工程与工业生物工程，能源化学工程，化学工程，化工管理，化工工艺，高分子化工，精细化工，生物化工，工业分析，电化学工程，工业催化，化学制药，生物制药，材料化学，化学，化学生物学，化学药物制备工艺学，环境化学，精细合成化学与分子工程，精细化学品化学，制药化学，新能源材料，制药工程与技术，制药与精细化工，化学工艺，应用化学</w:t>
            </w:r>
          </w:p>
        </w:tc>
        <w:tc>
          <w:tcPr>
            <w:tcW w:w="846" w:type="pct"/>
            <w:vMerge w:val="restart"/>
            <w:shd w:val="clear" w:color="auto" w:fill="auto"/>
            <w:tcMar>
              <w:top w:w="28" w:type="dxa"/>
              <w:left w:w="57" w:type="dxa"/>
              <w:bottom w:w="28" w:type="dxa"/>
              <w:right w:w="57" w:type="dxa"/>
            </w:tcMar>
            <w:vAlign w:val="center"/>
          </w:tcPr>
          <w:p>
            <w:pPr>
              <w:widowControl/>
              <w:spacing w:line="240" w:lineRule="exact"/>
              <w:rPr>
                <w:rFonts w:ascii="Times New Roman" w:hAnsi="Times New Roman" w:eastAsia="宋体" w:cs="Times New Roman"/>
                <w:kern w:val="0"/>
                <w:sz w:val="20"/>
                <w:szCs w:val="20"/>
              </w:rPr>
            </w:pPr>
            <w:r>
              <w:rPr>
                <w:rFonts w:ascii="Times New Roman" w:hAnsi="Times New Roman" w:eastAsia="宋体" w:cs="Times New Roman"/>
                <w:kern w:val="0"/>
                <w:sz w:val="20"/>
                <w:szCs w:val="20"/>
              </w:rPr>
              <w:t>1.C9</w:t>
            </w:r>
            <w:r>
              <w:rPr>
                <w:rFonts w:hint="eastAsia" w:ascii="宋体" w:hAnsi="宋体" w:eastAsia="宋体" w:cs="Times New Roman"/>
                <w:kern w:val="0"/>
                <w:sz w:val="20"/>
                <w:szCs w:val="20"/>
              </w:rPr>
              <w:t>重点高校（清华大学、北京大学、复旦大学、上海交通大学、南京大学、浙江大学、中国科学技术大学、哈尔滨工业大学、西安交通大学，下同）全日制本科学历毕业生；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2.C9</w:t>
            </w:r>
            <w:r>
              <w:rPr>
                <w:rFonts w:hint="eastAsia" w:ascii="宋体" w:hAnsi="宋体" w:eastAsia="宋体" w:cs="Times New Roman"/>
                <w:kern w:val="0"/>
                <w:sz w:val="20"/>
                <w:szCs w:val="20"/>
              </w:rPr>
              <w:t>重点高校全日制硕士研究生及以上学历毕业生（本科和研究生阶段均须为第二轮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法律类岗位须取得国家法律职业资格证书（</w:t>
            </w:r>
            <w:r>
              <w:rPr>
                <w:rFonts w:ascii="Times New Roman" w:hAnsi="Times New Roman" w:eastAsia="宋体" w:cs="Times New Roman"/>
                <w:kern w:val="0"/>
                <w:sz w:val="20"/>
                <w:szCs w:val="20"/>
              </w:rPr>
              <w:t>A</w:t>
            </w:r>
            <w:r>
              <w:rPr>
                <w:rFonts w:hint="eastAsia" w:ascii="宋体" w:hAnsi="宋体" w:eastAsia="宋体" w:cs="Times New Roman"/>
                <w:kern w:val="0"/>
                <w:sz w:val="20"/>
                <w:szCs w:val="20"/>
              </w:rPr>
              <w:t>类）。</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both"/>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电子邮箱：txzzbghb@126.com</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综评</w:t>
            </w:r>
            <w:r>
              <w:rPr>
                <w:rFonts w:ascii="Times New Roman" w:hAnsi="Times New Roman" w:eastAsia="宋体" w:cs="Times New Roman"/>
                <w:kern w:val="0"/>
                <w:sz w:val="20"/>
                <w:szCs w:val="20"/>
              </w:rPr>
              <w:t>+</w:t>
            </w:r>
            <w:r>
              <w:rPr>
                <w:rFonts w:hint="eastAsia" w:ascii="宋体" w:hAnsi="宋体" w:eastAsia="宋体" w:cs="宋体"/>
                <w:kern w:val="0"/>
                <w:sz w:val="20"/>
                <w:szCs w:val="20"/>
              </w:rPr>
              <w:t>面试</w:t>
            </w:r>
          </w:p>
        </w:tc>
        <w:tc>
          <w:tcPr>
            <w:tcW w:w="582" w:type="pct"/>
            <w:vMerge w:val="restart"/>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本科生、硕士研究生、博士研究生（按符合招聘要求的最高学历）年薪分别不低于30万元、35万元、40万元（包含个人需缴纳的医保费用、养老保险、职业年金、住房公积金和个人所得税）；试用期满考核合格的，分别发放一次性入职奖励15万元、20万元、30万元；</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2.免费居住人才公寓（或给予租房补贴）3年，享受“购房券”待遇，本科生、硕士研究生、博士研究生发放标准分别为8万元、15万元、25万元；</w:t>
            </w:r>
          </w:p>
          <w:p>
            <w:pPr>
              <w:widowControl/>
              <w:spacing w:line="24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3.因选聘名额限制未被录用的，根据个人意愿及专业匹配度，可推荐至泰兴市开发园区、国有企业就业。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92"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法律类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3A1-5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法学，律师，民商法，法律，法学（法务金融），法学（法务会计），宪法学与行政法学，民商法学（含：劳动法学、社会保障法学），诉讼法，诉讼法学，经济法学，环境与资源保护法学，法律硕士，法律（法学），法律（非法学），法律硕士（法学），法律硕士（非法学），经济法</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城建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规划类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3A1-6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建筑学，城市规划，人文地理与城乡规划，城乡规划，资源环境与城乡规划管理，环境设计，土木工程，给排水科学与工程，道路桥梁与渡河工程，城市管理，水利水电工程，水利工程，交通工程，城乡规划学，城市规划与设计，市政工程，城市与区域规划，建筑与土木工程，土木水利，道路与铁道工程，水工结构工程，结构工程</w:t>
            </w:r>
          </w:p>
        </w:tc>
        <w:tc>
          <w:tcPr>
            <w:tcW w:w="846" w:type="pct"/>
            <w:vMerge w:val="restart"/>
            <w:shd w:val="clear" w:color="auto" w:fill="auto"/>
            <w:tcMar>
              <w:top w:w="28" w:type="dxa"/>
              <w:left w:w="57" w:type="dxa"/>
              <w:bottom w:w="28" w:type="dxa"/>
              <w:right w:w="57" w:type="dxa"/>
            </w:tcMar>
            <w:vAlign w:val="center"/>
          </w:tcPr>
          <w:p>
            <w:pPr>
              <w:widowControl/>
              <w:spacing w:line="240" w:lineRule="exact"/>
              <w:rPr>
                <w:rFonts w:ascii="Times New Roman" w:hAnsi="Times New Roman" w:eastAsia="宋体" w:cs="Times New Roman"/>
                <w:kern w:val="0"/>
                <w:sz w:val="20"/>
                <w:szCs w:val="20"/>
              </w:rPr>
            </w:pPr>
            <w:r>
              <w:rPr>
                <w:rFonts w:ascii="Times New Roman" w:hAnsi="Times New Roman" w:eastAsia="宋体" w:cs="Times New Roman"/>
                <w:kern w:val="0"/>
                <w:sz w:val="20"/>
                <w:szCs w:val="20"/>
              </w:rPr>
              <w:t>1.C9</w:t>
            </w:r>
            <w:r>
              <w:rPr>
                <w:rFonts w:hint="eastAsia" w:ascii="宋体" w:hAnsi="宋体" w:eastAsia="宋体" w:cs="Times New Roman"/>
                <w:kern w:val="0"/>
                <w:sz w:val="20"/>
                <w:szCs w:val="20"/>
              </w:rPr>
              <w:t>重点高校（清华大学、北京大学、复旦大学、上海交通大学、南京大学、浙江大学、中国科学技术大学、哈尔滨工业大学、西安交通大学，下同）全日制本科学历毕业生；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2.C9</w:t>
            </w:r>
            <w:r>
              <w:rPr>
                <w:rFonts w:hint="eastAsia" w:ascii="宋体" w:hAnsi="宋体" w:eastAsia="宋体" w:cs="Times New Roman"/>
                <w:kern w:val="0"/>
                <w:sz w:val="20"/>
                <w:szCs w:val="20"/>
              </w:rPr>
              <w:t>重点高校全日制硕士研究生及以上学历毕业生（本科和研究生阶段均须为第二轮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法律类岗位须取得国家法律职业资格证书（</w:t>
            </w:r>
            <w:r>
              <w:rPr>
                <w:rFonts w:ascii="Times New Roman" w:hAnsi="Times New Roman" w:eastAsia="宋体" w:cs="Times New Roman"/>
                <w:kern w:val="0"/>
                <w:sz w:val="20"/>
                <w:szCs w:val="20"/>
              </w:rPr>
              <w:t>A</w:t>
            </w:r>
            <w:r>
              <w:rPr>
                <w:rFonts w:hint="eastAsia" w:ascii="宋体" w:hAnsi="宋体" w:eastAsia="宋体" w:cs="Times New Roman"/>
                <w:kern w:val="0"/>
                <w:sz w:val="20"/>
                <w:szCs w:val="20"/>
              </w:rPr>
              <w:t>类）。</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电子邮箱：txzzbghb@126.com</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综评</w:t>
            </w:r>
            <w:r>
              <w:rPr>
                <w:rFonts w:ascii="Times New Roman" w:hAnsi="Times New Roman" w:eastAsia="宋体" w:cs="Times New Roman"/>
                <w:kern w:val="0"/>
                <w:sz w:val="20"/>
                <w:szCs w:val="20"/>
              </w:rPr>
              <w:t>+</w:t>
            </w:r>
            <w:r>
              <w:rPr>
                <w:rFonts w:hint="eastAsia" w:ascii="宋体" w:hAnsi="宋体" w:eastAsia="宋体" w:cs="宋体"/>
                <w:kern w:val="0"/>
                <w:sz w:val="20"/>
                <w:szCs w:val="20"/>
              </w:rPr>
              <w:t>面试</w:t>
            </w:r>
          </w:p>
        </w:tc>
        <w:tc>
          <w:tcPr>
            <w:tcW w:w="582" w:type="pct"/>
            <w:vMerge w:val="restart"/>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本科生、硕士研究生、博士研究生（按符合招聘要求的最高学历）年薪分别不低于30万元、35万元、40万元（包含个人需缴纳的医保费用、养老保险、职业年金、住房公积金和个人所得税）；试用期满考核合格的，分别发放一次性入职奖励15万元、20万元、30万元；</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2.免费居住人才公寓（或给予租房补贴）3年，享受“购房券”待遇，本科生、硕士研究生、博士研究生发放标准分别为8万元、15万元、25万元；</w:t>
            </w:r>
          </w:p>
          <w:p>
            <w:pPr>
              <w:widowControl/>
              <w:spacing w:line="24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3.因选聘名额限制未被录用的，根据个人意愿及专业匹配度，可推荐至泰兴市开发园区、国有企业就业。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34"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计算机类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3A1-7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计算机科学与技术，电子与计算机工程，计算机通信工程，计算机及应用，通信工程，信息管理与信息系统，数据科学与大数据技术，信息工程，大数据管理与应用，计算机软件，软件工程，计算机应用软件，信息与计算科学，数字媒体技术，信息技术应用与管理，网络工程，信息安全，网络空间安全，计算机技术及其应用，计算机系统结构，计算机应用技术，系统工程，计算机技术，计算机软件与理论</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宋体"/>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3A2-1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restart"/>
            <w:shd w:val="clear" w:color="auto" w:fill="auto"/>
            <w:tcMar>
              <w:top w:w="28" w:type="dxa"/>
              <w:left w:w="57" w:type="dxa"/>
              <w:bottom w:w="28" w:type="dxa"/>
              <w:right w:w="57" w:type="dxa"/>
            </w:tcMar>
            <w:vAlign w:val="center"/>
          </w:tcPr>
          <w:p>
            <w:pPr>
              <w:widowControl/>
              <w:spacing w:line="240" w:lineRule="exact"/>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第一轮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一流大学</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建设高校全日制本科及以上学历毕业生；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建设高校全日制硕士研究生及以上学历毕业生；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最新世界大学排名榜单（</w:t>
            </w:r>
            <w:r>
              <w:rPr>
                <w:rFonts w:ascii="Times New Roman" w:hAnsi="Times New Roman" w:eastAsia="宋体" w:cs="Times New Roman"/>
                <w:kern w:val="0"/>
                <w:sz w:val="20"/>
                <w:szCs w:val="20"/>
              </w:rPr>
              <w:t>QS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THE</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U.S.NEWS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ARWU</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CWUR</w:t>
            </w:r>
            <w:r>
              <w:rPr>
                <w:rFonts w:hint="eastAsia" w:ascii="宋体" w:hAnsi="宋体" w:eastAsia="宋体" w:cs="Times New Roman"/>
                <w:kern w:val="0"/>
                <w:sz w:val="20"/>
                <w:szCs w:val="20"/>
              </w:rPr>
              <w:t>）前</w:t>
            </w:r>
            <w:r>
              <w:rPr>
                <w:rFonts w:ascii="Times New Roman" w:hAnsi="Times New Roman" w:eastAsia="宋体" w:cs="Times New Roman"/>
                <w:kern w:val="0"/>
                <w:sz w:val="20"/>
                <w:szCs w:val="20"/>
              </w:rPr>
              <w:t>100</w:t>
            </w:r>
            <w:r>
              <w:rPr>
                <w:rFonts w:hint="eastAsia" w:ascii="宋体" w:hAnsi="宋体" w:eastAsia="宋体" w:cs="Times New Roman"/>
                <w:kern w:val="0"/>
                <w:sz w:val="20"/>
                <w:szCs w:val="20"/>
              </w:rPr>
              <w:t>名国（境）外高校的全日制硕士研究生及以上学历毕业生。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both"/>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电子邮箱：txzzbghb@126.com</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综评+面试</w:t>
            </w:r>
          </w:p>
        </w:tc>
        <w:tc>
          <w:tcPr>
            <w:tcW w:w="582" w:type="pct"/>
            <w:vMerge w:val="restart"/>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1.免费居住人才公寓（或给予租房补贴）3年；</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2.享受“购房券”待遇（博士研究生25万元；本科段学历为“双一流”高校的硕士研究生15万元；本科段学历为普通高校的硕士研究生11万元；“双一流”高校本科毕业生8万元）；</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3.可申请发放生活补助（博士研究生2万元左右/年、硕士研究生1万元左右/年、本科毕业生0.6万元左右/年）；</w:t>
            </w:r>
          </w:p>
          <w:p>
            <w:pPr>
              <w:widowControl/>
              <w:spacing w:line="24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4.因选聘名额限制未被录用的，根据个人意愿及专业匹配度，可推荐至泰兴市开发园区、国有企业就业。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宋体"/>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3A2-2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7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经济类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3A2-3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经济学，国际经济与贸易，财政学，金融学，国民经济管理，贸易经济，金融工程，投资学，经济与行政管理，经济统计学，商务经济学，能源经济，金融数学，经济与金融，农村区域发展，金融管理，国际贸易，金融，统计学，税收学，电子商务，工程造价，工程管理，财务管理，应用统计学，会计，会计学，互联网金融，政治经济学，世界经济，人口、资源与环境经济学，国民经济学，区域经济学，财政学（含税收学），产业经济学，国际贸易学，劳动经济学，应用统计，资产评估，农村与区域发展，国际商务，应用经济学，审计，会计与金融</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22"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机电控制类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3A2-4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自动化，工业电气自动化，过程装备与控制工程，材料成型及控制工程，工业自动化，电气工程与智能控制，机械电子工程，自动化（数控技术），电子科学与技术，电力工程及自动化，智能电网工程技术，机械设计制造及自动化，智能制造工程技术，智能制造工程，装备智能化技术，机械电子工程技术，电气工程及自动化，智能控制技术，机器人技术，自动化技术与应用，现代测控工程技术，控制理论与控制工程，检测技术与自动化装置，系统工程，模式识别与智能系统，导航、制导与控制，精密仪器及机械，测试计量技术及仪器，控制工程，电气工程，控制科学与工程，农业电气化与自动化，仪器科学与技术，仪器仪表工程，农业工程与信息技术，电子信息，机械工程，机械制造及其自动化，能源动力</w:t>
            </w:r>
          </w:p>
        </w:tc>
        <w:tc>
          <w:tcPr>
            <w:tcW w:w="846" w:type="pct"/>
            <w:shd w:val="clear" w:color="auto" w:fill="auto"/>
            <w:tcMar>
              <w:top w:w="28" w:type="dxa"/>
              <w:left w:w="57" w:type="dxa"/>
              <w:bottom w:w="28" w:type="dxa"/>
              <w:right w:w="57" w:type="dxa"/>
            </w:tcMar>
            <w:vAlign w:val="center"/>
          </w:tcPr>
          <w:p>
            <w:pPr>
              <w:widowControl/>
              <w:spacing w:line="240" w:lineRule="exact"/>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第一轮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一流大学</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建设高校全日制本科及以上学历毕业生；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建设高校全日制硕士研究生及以上学历毕业生；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最新世界大学排名榜单（</w:t>
            </w:r>
            <w:r>
              <w:rPr>
                <w:rFonts w:ascii="Times New Roman" w:hAnsi="Times New Roman" w:eastAsia="宋体" w:cs="Times New Roman"/>
                <w:kern w:val="0"/>
                <w:sz w:val="20"/>
                <w:szCs w:val="20"/>
              </w:rPr>
              <w:t>QS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THE</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U.S.NEWS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ARWU</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CWUR</w:t>
            </w:r>
            <w:r>
              <w:rPr>
                <w:rFonts w:hint="eastAsia" w:ascii="宋体" w:hAnsi="宋体" w:eastAsia="宋体" w:cs="Times New Roman"/>
                <w:kern w:val="0"/>
                <w:sz w:val="20"/>
                <w:szCs w:val="20"/>
              </w:rPr>
              <w:t>）前</w:t>
            </w:r>
            <w:r>
              <w:rPr>
                <w:rFonts w:ascii="Times New Roman" w:hAnsi="Times New Roman" w:eastAsia="宋体" w:cs="Times New Roman"/>
                <w:kern w:val="0"/>
                <w:sz w:val="20"/>
                <w:szCs w:val="20"/>
              </w:rPr>
              <w:t>100</w:t>
            </w:r>
            <w:r>
              <w:rPr>
                <w:rFonts w:hint="eastAsia" w:ascii="宋体" w:hAnsi="宋体" w:eastAsia="宋体" w:cs="Times New Roman"/>
                <w:kern w:val="0"/>
                <w:sz w:val="20"/>
                <w:szCs w:val="20"/>
              </w:rPr>
              <w:t>名国（境）外高校的全日制硕士研究生及以上学历毕业生。</w:t>
            </w:r>
          </w:p>
        </w:tc>
        <w:tc>
          <w:tcPr>
            <w:tcW w:w="345" w:type="pct"/>
            <w:shd w:val="clear" w:color="auto" w:fill="auto"/>
            <w:tcMar>
              <w:top w:w="28" w:type="dxa"/>
              <w:left w:w="57" w:type="dxa"/>
              <w:bottom w:w="28" w:type="dxa"/>
              <w:right w:w="57" w:type="dxa"/>
            </w:tcMar>
            <w:vAlign w:val="center"/>
          </w:tcPr>
          <w:p>
            <w:pPr>
              <w:widowControl/>
              <w:spacing w:line="240" w:lineRule="exact"/>
              <w:jc w:val="both"/>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电子邮箱：txzzbghb@126.com</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3"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综评+面试</w:t>
            </w:r>
          </w:p>
        </w:tc>
        <w:tc>
          <w:tcPr>
            <w:tcW w:w="582" w:type="pct"/>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1.免费居住人才公寓（或给予租房补贴）3年；</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2.享受“购房券”待遇（博士研究生25万元；本科段学历为“双一流”高校的硕士研究生15万元；本科段学历为普通高校的硕士研究生11万元；“双一流”高校本科毕业生8万元）；</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3.可申请发放生活补助（博士研究生2万元左右/年、硕士研究生1万元左右/年、本科毕业生0.6万元左右/年）；</w:t>
            </w:r>
          </w:p>
          <w:p>
            <w:pPr>
              <w:widowControl/>
              <w:spacing w:line="24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4.因选聘名额限制未被录用的，根据个人意愿及专业匹配度，可推荐至泰兴市开发园区、国有企业就业。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1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材料工程类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3A2-5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金属材料工程，无机非金属材料工程，高分子材料与工程，材料科学与工程，复合材料与工程，再生资源科学与技术，高分子材料加工工程，矿物加工工程，生物功能材料，材料物理，材料化学，功能材料，纳米材料与技术，新能源材料与器件，标准化工程，高分子材料科学与工程，材料成型及控制工程，材料化冶金应用技术，金属智能成型技术，高分子材料工程技术，新材料与应用技术，建筑材料智能制造，材料物理与化学，材料学，材料加工工程，冶金物理化学，钢铁冶金，有色金属冶金，高分子化学与物理，材料工程，冶金工程，材料与化工，纳米科学与工程</w:t>
            </w:r>
          </w:p>
        </w:tc>
        <w:tc>
          <w:tcPr>
            <w:tcW w:w="846" w:type="pct"/>
            <w:vMerge w:val="restart"/>
            <w:shd w:val="clear" w:color="auto" w:fill="auto"/>
            <w:tcMar>
              <w:top w:w="28" w:type="dxa"/>
              <w:left w:w="57" w:type="dxa"/>
              <w:bottom w:w="28" w:type="dxa"/>
              <w:right w:w="57" w:type="dxa"/>
            </w:tcMar>
            <w:vAlign w:val="center"/>
          </w:tcPr>
          <w:p>
            <w:pPr>
              <w:widowControl/>
              <w:spacing w:line="240" w:lineRule="exact"/>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第一轮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一流大学</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建设高校全日制本科及以上学历毕业生；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建设高校全日制硕士研究生及以上学历毕业生；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最新世界大学排名榜单（</w:t>
            </w:r>
            <w:r>
              <w:rPr>
                <w:rFonts w:ascii="Times New Roman" w:hAnsi="Times New Roman" w:eastAsia="宋体" w:cs="Times New Roman"/>
                <w:kern w:val="0"/>
                <w:sz w:val="20"/>
                <w:szCs w:val="20"/>
              </w:rPr>
              <w:t>QS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THE</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U.S.NEWS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ARWU</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CWUR</w:t>
            </w:r>
            <w:r>
              <w:rPr>
                <w:rFonts w:hint="eastAsia" w:ascii="宋体" w:hAnsi="宋体" w:eastAsia="宋体" w:cs="Times New Roman"/>
                <w:kern w:val="0"/>
                <w:sz w:val="20"/>
                <w:szCs w:val="20"/>
              </w:rPr>
              <w:t>）前</w:t>
            </w:r>
            <w:r>
              <w:rPr>
                <w:rFonts w:ascii="Times New Roman" w:hAnsi="Times New Roman" w:eastAsia="宋体" w:cs="Times New Roman"/>
                <w:kern w:val="0"/>
                <w:sz w:val="20"/>
                <w:szCs w:val="20"/>
              </w:rPr>
              <w:t>100</w:t>
            </w:r>
            <w:r>
              <w:rPr>
                <w:rFonts w:hint="eastAsia" w:ascii="宋体" w:hAnsi="宋体" w:eastAsia="宋体" w:cs="Times New Roman"/>
                <w:kern w:val="0"/>
                <w:sz w:val="20"/>
                <w:szCs w:val="20"/>
              </w:rPr>
              <w:t>名国（境）外高校的全日制硕士研究生及以上学历毕业生。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电子邮箱：txzzbghb@126.com</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both"/>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综评+面试</w:t>
            </w:r>
          </w:p>
        </w:tc>
        <w:tc>
          <w:tcPr>
            <w:tcW w:w="582" w:type="pct"/>
            <w:vMerge w:val="restart"/>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1.免费居住人才公寓（或给予租房补贴）3年；</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2.享受“购房券”待遇（博士研究生25万元；本科段学历为“双一流”高校的硕士研究生15万元；本科段学历为普通高校的硕士研究生11万元；“双一流”高校本科毕业生8万元）；</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3.可申请发放生活补助（博士研究生2万元左右/年、硕士研究生1万元左右/年、本科毕业生0.6万元左右/年）；</w:t>
            </w:r>
          </w:p>
          <w:p>
            <w:pPr>
              <w:widowControl/>
              <w:spacing w:line="24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4.因选聘名额限制未被录用的，根据个人意愿及专业匹配度，可推荐至泰兴市开发园区、国有企业就业。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79"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泰兴市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泰兴市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安全生产类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3A2-6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安全工程，安全防范工程，消防工程，应急管理，应急技术与管理，安全技术及工程，安全科学与工程</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不限</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应具备以下条件之一：</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①</w:t>
            </w:r>
            <w:r>
              <w:rPr>
                <w:rFonts w:hint="eastAsia" w:ascii="宋体" w:hAnsi="宋体" w:eastAsia="宋体" w:cs="Times New Roman"/>
                <w:color w:val="auto"/>
                <w:kern w:val="0"/>
                <w:sz w:val="20"/>
                <w:szCs w:val="20"/>
              </w:rPr>
              <w:t>第一轮</w:t>
            </w:r>
            <w:r>
              <w:rPr>
                <w:rFonts w:hint="eastAsia" w:ascii="Times New Roman" w:hAnsi="Times New Roman" w:eastAsia="宋体" w:cs="Times New Roman"/>
                <w:color w:val="auto"/>
                <w:kern w:val="0"/>
                <w:sz w:val="20"/>
                <w:szCs w:val="20"/>
              </w:rPr>
              <w:t>“</w:t>
            </w:r>
            <w:r>
              <w:rPr>
                <w:rFonts w:hint="eastAsia" w:ascii="宋体" w:hAnsi="宋体" w:eastAsia="宋体" w:cs="Times New Roman"/>
                <w:color w:val="auto"/>
                <w:kern w:val="0"/>
                <w:sz w:val="20"/>
                <w:szCs w:val="20"/>
              </w:rPr>
              <w:t>一流大学</w:t>
            </w:r>
            <w:r>
              <w:rPr>
                <w:rFonts w:hint="eastAsia" w:ascii="Times New Roman" w:hAnsi="Times New Roman" w:eastAsia="宋体" w:cs="Times New Roman"/>
                <w:color w:val="auto"/>
                <w:kern w:val="0"/>
                <w:sz w:val="20"/>
                <w:szCs w:val="20"/>
              </w:rPr>
              <w:t>”</w:t>
            </w:r>
            <w:r>
              <w:rPr>
                <w:rFonts w:hint="eastAsia" w:ascii="宋体" w:hAnsi="宋体" w:eastAsia="宋体" w:cs="Times New Roman"/>
                <w:color w:val="auto"/>
                <w:kern w:val="0"/>
                <w:sz w:val="20"/>
                <w:szCs w:val="20"/>
              </w:rPr>
              <w:t>建设高校全日制本科</w:t>
            </w:r>
            <w:r>
              <w:rPr>
                <w:rFonts w:hint="eastAsia" w:ascii="宋体" w:hAnsi="宋体" w:eastAsia="宋体" w:cs="Times New Roman"/>
                <w:color w:val="auto"/>
                <w:kern w:val="0"/>
                <w:sz w:val="20"/>
                <w:szCs w:val="20"/>
                <w:lang w:val="en-US" w:eastAsia="zh-CN"/>
              </w:rPr>
              <w:t>及以上学历</w:t>
            </w:r>
            <w:r>
              <w:rPr>
                <w:rFonts w:hint="eastAsia" w:ascii="宋体" w:hAnsi="宋体" w:eastAsia="宋体" w:cs="Times New Roman"/>
                <w:color w:val="auto"/>
                <w:kern w:val="0"/>
                <w:sz w:val="20"/>
                <w:szCs w:val="20"/>
              </w:rPr>
              <w:t>毕业生；</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②第二轮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建设高校全日制硕士研究生及以上学历毕业生（本科须为第二轮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建设高校全日制毕业生）；</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③最新世界大学排名榜单（</w:t>
            </w:r>
            <w:r>
              <w:rPr>
                <w:rFonts w:ascii="Times New Roman" w:hAnsi="Times New Roman" w:eastAsia="宋体" w:cs="Times New Roman"/>
                <w:kern w:val="0"/>
                <w:sz w:val="20"/>
                <w:szCs w:val="20"/>
              </w:rPr>
              <w:t>QS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THE</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U.S.News</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ARWU</w:t>
            </w:r>
            <w:r>
              <w:rPr>
                <w:rFonts w:hint="eastAsia" w:ascii="宋体" w:hAnsi="宋体" w:eastAsia="宋体" w:cs="Times New Roman"/>
                <w:kern w:val="0"/>
                <w:sz w:val="20"/>
                <w:szCs w:val="20"/>
              </w:rPr>
              <w:t>、</w:t>
            </w:r>
            <w:r>
              <w:rPr>
                <w:rFonts w:ascii="Times New Roman" w:hAnsi="Times New Roman" w:eastAsia="宋体" w:cs="Times New Roman"/>
                <w:kern w:val="0"/>
                <w:sz w:val="20"/>
                <w:szCs w:val="20"/>
              </w:rPr>
              <w:t>CWUR</w:t>
            </w:r>
            <w:r>
              <w:rPr>
                <w:rFonts w:hint="eastAsia" w:ascii="宋体" w:hAnsi="宋体" w:eastAsia="宋体" w:cs="Times New Roman"/>
                <w:kern w:val="0"/>
                <w:sz w:val="20"/>
                <w:szCs w:val="20"/>
              </w:rPr>
              <w:t>）前</w:t>
            </w:r>
            <w:r>
              <w:rPr>
                <w:rFonts w:ascii="Times New Roman" w:hAnsi="Times New Roman" w:eastAsia="宋体" w:cs="Times New Roman"/>
                <w:kern w:val="0"/>
                <w:sz w:val="20"/>
                <w:szCs w:val="20"/>
              </w:rPr>
              <w:t>100</w:t>
            </w:r>
            <w:r>
              <w:rPr>
                <w:rFonts w:hint="eastAsia" w:ascii="宋体" w:hAnsi="宋体" w:eastAsia="宋体" w:cs="Times New Roman"/>
                <w:kern w:val="0"/>
                <w:sz w:val="20"/>
                <w:szCs w:val="20"/>
              </w:rPr>
              <w:t>名国（境）外高校的全日制硕士研究生及以上学历毕业生（本科须为第二轮</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Times New Roman"/>
                <w:kern w:val="0"/>
                <w:sz w:val="20"/>
                <w:szCs w:val="20"/>
              </w:rPr>
              <w:t>建设高校全日制毕业生）。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电子邮箱：xhqnrccbzx@126.com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咨询电话：0523-83326196</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面谈</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发放购房券；</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2</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年内按有关标准享受生活补贴；</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3</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由兴化市委组织部跟踪管理，纳入优秀年轻干部库重点培养。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9"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不限</w:t>
            </w:r>
          </w:p>
        </w:tc>
        <w:tc>
          <w:tcPr>
            <w:tcW w:w="846"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1</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宋体" w:hAnsi="宋体" w:eastAsia="宋体" w:cs="Times New Roman"/>
                <w:kern w:val="0"/>
                <w:sz w:val="20"/>
                <w:szCs w:val="20"/>
              </w:rPr>
              <w:t>材料物理与化学，材料学，材料加工工程，冶金物理化学，钢铁冶金，有色金属冶金，材料工程，材料与化工，冶金工程，金属材料工程，材料科学与工程，复合材料与工程，焊接技术与工程，材料物理，材料化学，新能源材料与器件，标准化工程，质量管理工程，材料成型及控制工程，钢铁智能冶金技术，材料化冶金应用技术，金属智能成型技术，储能材料工程技术，新材料与应用技术</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1.应具备以下条件之一：</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①第二轮“双一流”建设高校全日制本科毕业生；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②国内高校全日制硕士研究生及以上学历毕业生；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③最新世界大学排名榜单（QS、THE、U.S.News、ARWU、CWUR）前100名国（境）外高校的全日制硕士研究生及以上学历毕业生（本科须为国内高校全日制毕业生）。</w:t>
            </w:r>
          </w:p>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2.拥有相关行业工作经验，持有专业资格证书者优先。</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电子邮箱：xhqnrccbzx@126.com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咨询电话：0523-83326196</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面谈</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发放购房券；</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2</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年内按有关标准享受生活补贴；</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3</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由兴化市委组织部跟踪管理，纳入优秀年轻干部库重点培养。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2</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宋体" w:hAnsi="宋体" w:eastAsia="宋体" w:cs="Times New Roman"/>
                <w:kern w:val="0"/>
                <w:sz w:val="20"/>
                <w:szCs w:val="20"/>
              </w:rPr>
              <w:t>机械制造及其自动化，机械设计及理论，动力机械及工程，化工过程机械，控制工程，控制理论与控制工程，工业设计工程，控制科学与工程，精密仪器及机械，机械，动力工程，机械设计制造及其自动化，机械制造及自动化，材料成型及控制工程，工业设计，过程装备与控制工程，自动化，机械工程及自动化，机械工程及其自动化，机械电子工程，制造自动化与测控技术，测控技术与仪器，制造工程，机械工程，机械工艺技术，标准化工程，数控加工与模具设计，工业工程，金属材料工程，金属智能成型技术，机械设计制造及自动化，数控技术，工业工程技术，装备智能化技术，机械电子工程技术，自动化技术与应用，现代测控工程技术</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3</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30" w:lineRule="exact"/>
              <w:rPr>
                <w:rFonts w:ascii="Times New Roman" w:hAnsi="Times New Roman" w:eastAsia="宋体" w:cs="Times New Roman"/>
                <w:kern w:val="0"/>
                <w:sz w:val="20"/>
                <w:szCs w:val="20"/>
              </w:rPr>
            </w:pPr>
            <w:r>
              <w:rPr>
                <w:rFonts w:hint="eastAsia" w:ascii="宋体" w:hAnsi="宋体" w:eastAsia="宋体" w:cs="Times New Roman"/>
                <w:kern w:val="0"/>
                <w:sz w:val="20"/>
                <w:szCs w:val="20"/>
              </w:rPr>
              <w:t>发酵工程，食品科学，粮食、油脂及植物蛋白工程，农产品加工及贮藏工程，水产品加工及贮藏工程，食品加工与安全，食品工程，食品科学与工程，食品质量与安全，农产品质量与安全，粮食工程，乳品工程，质量管理工程，食品安全与品控，食品工程技术，现代粮食工程技术</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1.应具备以下条件之一：</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①第二轮“双一流”建设高校全日制本科毕业生；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②国内高校全日制硕士研究生及以上学历毕业生；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③最新世界大学排名榜单（QS、THE、U.S.News、ARWU、CWUR）前100名国（境）外高校的全日制硕士研究生及以上学历毕业生（本科须为国内高校全日制毕业生）。</w:t>
            </w:r>
          </w:p>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2.拥有相关行业工作经验，持有专业资格证书者优先。</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电子邮箱：xhqnrccbzx@126.com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咨询电话：0523-83326196</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面谈</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发放购房券；</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2</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年内按有关标准享受生活补贴；</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3</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由兴化市委组织部跟踪管理，纳入优秀年轻干部库重点培养。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4</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30" w:lineRule="exact"/>
              <w:rPr>
                <w:rFonts w:ascii="Times New Roman" w:hAnsi="Times New Roman" w:eastAsia="宋体" w:cs="Times New Roman"/>
                <w:spacing w:val="-8"/>
                <w:kern w:val="0"/>
                <w:sz w:val="20"/>
                <w:szCs w:val="20"/>
              </w:rPr>
            </w:pPr>
            <w:r>
              <w:rPr>
                <w:rFonts w:hint="eastAsia" w:ascii="宋体" w:hAnsi="宋体" w:eastAsia="宋体" w:cs="Times New Roman"/>
                <w:spacing w:val="-8"/>
                <w:kern w:val="0"/>
                <w:sz w:val="20"/>
                <w:szCs w:val="20"/>
              </w:rPr>
              <w:t>农业机械化工程，作物栽培学与耕作学，作物遗传育种，渔业，水产养殖，作物安全生产与质量管理，农业工程与信息技术，农业机械化，渔业发展，渔业资源，水产，农业机械化及其自动化，农业电气化与自动化，农业电气化，设施农业科学与工程，渔业经济管理，渔业资源与渔政管理，水产养殖学，作物生产与品质改良，智慧农业技术，现代水产养殖技术</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1"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5</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30" w:lineRule="exact"/>
              <w:rPr>
                <w:rFonts w:ascii="Times New Roman" w:hAnsi="Times New Roman" w:eastAsia="宋体" w:cs="Times New Roman"/>
                <w:spacing w:val="-8"/>
                <w:kern w:val="0"/>
                <w:sz w:val="20"/>
                <w:szCs w:val="20"/>
              </w:rPr>
            </w:pPr>
            <w:r>
              <w:rPr>
                <w:rFonts w:hint="eastAsia" w:ascii="宋体" w:hAnsi="宋体" w:eastAsia="宋体" w:cs="Times New Roman"/>
                <w:spacing w:val="-8"/>
                <w:kern w:val="0"/>
                <w:sz w:val="20"/>
                <w:szCs w:val="20"/>
              </w:rPr>
              <w:t>财政学（含税收学），金融学（含保险学），产业经济学，应用统计，国际商务，应用经济学，数量经济学，审计，会计与金融，数字经济，经济学，国际经济与贸易，贸易经济，金融工程，投资学，会展经济与管理，经济与行政管理，经济统计学，商务经济学，能源经济，金融数学，经济与金融，资产评估，金融管理，国际贸易，金融，统计学，电子商务，财务管理，应用统计学，互联网金融，金融科技应用，大数据与财务管理，大数据与审计，跨境电子商务，金融科技</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10"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6</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4A-8</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宋体" w:hAnsi="宋体" w:eastAsia="宋体" w:cs="Times New Roman"/>
                <w:kern w:val="0"/>
                <w:sz w:val="20"/>
                <w:szCs w:val="20"/>
              </w:rPr>
              <w:t>旅游管理，文化产业管理，旅游规划与设计，旅游管理与服务教育，会展经济与管理，会展艺术与技术，风景园林、风景园林学，景观学，景观设计，景观建筑设计，历史建筑保护工程，文物与博物馆，文物，文物与博物馆学，文物保护技术，文物鉴赏与修复，文物修复与保护</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1.应具备以下条件之一：</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①第二轮“双一流”建设高校全日制本科毕业生；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②国内高校全日制硕士研究生及以上学历毕业生；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③最新世界大学排名榜单（QS、THE、U.S.News、ARWU、CWUR）前100名国（境）外高校的全日制硕士研究生及以上学历毕业生（本科须为国内高校全日制毕业生）。</w:t>
            </w:r>
          </w:p>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2.拥有相关行业工作经验，持有专业资格证书者优先。</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电子邮箱：xhqnrccbzx@126.com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咨询电话：0523-83326196</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面谈</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lang w:val="en-US" w:eastAsia="zh-CN"/>
              </w:rPr>
              <w:t>1</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发放购房券；</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2</w:t>
            </w:r>
            <w:r>
              <w:rPr>
                <w:rFonts w:ascii="Times New Roman" w:hAnsi="Times New Roman" w:eastAsia="宋体" w:cs="Times New Roman"/>
                <w:kern w:val="0"/>
                <w:sz w:val="20"/>
                <w:szCs w:val="20"/>
              </w:rPr>
              <w:t>.5</w:t>
            </w:r>
            <w:r>
              <w:rPr>
                <w:rFonts w:hint="eastAsia" w:ascii="宋体" w:hAnsi="宋体" w:eastAsia="宋体" w:cs="Times New Roman"/>
                <w:kern w:val="0"/>
                <w:sz w:val="20"/>
                <w:szCs w:val="20"/>
              </w:rPr>
              <w:t>年内按有关标准享受生活补贴；</w:t>
            </w:r>
            <w:r>
              <w:rPr>
                <w:rFonts w:ascii="Times New Roman" w:hAnsi="Times New Roman" w:eastAsia="宋体" w:cs="Times New Roman"/>
                <w:kern w:val="0"/>
                <w:sz w:val="20"/>
                <w:szCs w:val="20"/>
              </w:rPr>
              <w:br w:type="textWrapping"/>
            </w:r>
            <w:r>
              <w:rPr>
                <w:rFonts w:hint="eastAsia" w:ascii="Times New Roman" w:hAnsi="Times New Roman" w:eastAsia="宋体" w:cs="Times New Roman"/>
                <w:kern w:val="0"/>
                <w:sz w:val="20"/>
                <w:szCs w:val="20"/>
                <w:lang w:val="en-US" w:eastAsia="zh-CN"/>
              </w:rPr>
              <w:t>3</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由兴化市委组织部跟踪管理，纳入优秀年轻干部库重点培养。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2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7</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4A-9</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宋体" w:hAnsi="宋体" w:eastAsia="宋体" w:cs="Times New Roman"/>
                <w:kern w:val="0"/>
                <w:sz w:val="20"/>
                <w:szCs w:val="20"/>
              </w:rPr>
              <w:t>媒体创意</w:t>
            </w:r>
            <w:r>
              <w:rPr>
                <w:rFonts w:hint="eastAsia" w:ascii="宋体" w:hAnsi="宋体" w:eastAsia="宋体" w:cs="Times New Roman"/>
                <w:kern w:val="0"/>
                <w:sz w:val="20"/>
                <w:szCs w:val="20"/>
                <w:lang w:eastAsia="zh-CN"/>
              </w:rPr>
              <w:t>，</w:t>
            </w:r>
            <w:r>
              <w:rPr>
                <w:rFonts w:hint="eastAsia" w:ascii="宋体" w:hAnsi="宋体" w:eastAsia="宋体" w:cs="Times New Roman"/>
                <w:kern w:val="0"/>
                <w:sz w:val="20"/>
                <w:szCs w:val="20"/>
              </w:rPr>
              <w:t>网络与新媒体，影视摄制，会展艺术与技术，影视艺术技术，数字媒体艺术，数字媒体，视觉传达设计，视觉传达，影视摄影与制作，展示艺术设计，数字影像设计</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8"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兴化市</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兴化市</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青年人才储备中心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8</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4A-10</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宋体" w:hAnsi="宋体" w:eastAsia="宋体" w:cs="Times New Roman"/>
                <w:kern w:val="0"/>
                <w:sz w:val="20"/>
                <w:szCs w:val="20"/>
              </w:rPr>
              <w:t>城乡规划学，城市规划与设计（含：风景园林规划与设计），城市规划，城市与区域规划，人文地理与城乡规划，城乡规划，资源环境与城乡规划管理，城市设计数字技术，土地资源管理，测绘科学与技术，大地测量学与测量工程，摄影测量与遥感，遥感科学与技术，大地测量，土地管理，土地资源管理（国土资源与房地产方向），土地规划与管理，国土整治与规划，国土资源管理，国土资源开发与管理，国土规划与整治，土地规划与利用，测绘工程，测绘工程技术，现代测绘工程技术，空间科学与数字技术</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9"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海陵区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Times New Roman" w:hAnsi="Times New Roman" w:eastAsia="宋体" w:cs="宋体"/>
                <w:kern w:val="0"/>
                <w:sz w:val="19"/>
                <w:szCs w:val="19"/>
              </w:rPr>
              <w:t>5A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19"/>
                <w:szCs w:val="19"/>
              </w:rPr>
            </w:pPr>
            <w:r>
              <w:rPr>
                <w:rFonts w:hint="eastAsia" w:ascii="宋体" w:hAnsi="宋体" w:eastAsia="宋体" w:cs="宋体"/>
                <w:kern w:val="0"/>
                <w:sz w:val="19"/>
                <w:szCs w:val="19"/>
              </w:rPr>
              <w:t>海陵区</w:t>
            </w:r>
          </w:p>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干部规划发展中心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综合类</w:t>
            </w:r>
            <w:r>
              <w:rPr>
                <w:rFonts w:hint="eastAsia" w:ascii="宋体" w:hAnsi="宋体" w:eastAsia="宋体" w:cs="宋体"/>
                <w:kern w:val="0"/>
                <w:sz w:val="19"/>
                <w:szCs w:val="19"/>
              </w:rPr>
              <w:br w:type="textWrapping"/>
            </w:r>
            <w:r>
              <w:rPr>
                <w:rFonts w:hint="eastAsia" w:ascii="宋体" w:hAnsi="宋体" w:eastAsia="宋体" w:cs="宋体"/>
                <w:kern w:val="0"/>
                <w:sz w:val="19"/>
                <w:szCs w:val="19"/>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19"/>
                <w:szCs w:val="19"/>
              </w:rPr>
            </w:pPr>
            <w:r>
              <w:rPr>
                <w:rFonts w:ascii="Times New Roman" w:hAnsi="Times New Roman" w:eastAsia="宋体" w:cs="Times New Roman"/>
                <w:kern w:val="0"/>
                <w:sz w:val="19"/>
                <w:szCs w:val="19"/>
              </w:rPr>
              <w:t>5A-1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Times New Roman" w:hAnsi="Times New Roman" w:eastAsia="宋体" w:cs="宋体"/>
                <w:kern w:val="0"/>
                <w:sz w:val="19"/>
                <w:szCs w:val="19"/>
              </w:rPr>
              <w:t>8</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19"/>
                <w:szCs w:val="19"/>
              </w:rPr>
            </w:pPr>
            <w:r>
              <w:rPr>
                <w:rFonts w:hint="eastAsia" w:ascii="宋体" w:hAnsi="宋体" w:eastAsia="宋体" w:cs="宋体"/>
                <w:kern w:val="0"/>
                <w:sz w:val="19"/>
                <w:szCs w:val="19"/>
              </w:rPr>
              <w:t>本科</w:t>
            </w:r>
          </w:p>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不限</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19"/>
                <w:szCs w:val="19"/>
              </w:rPr>
            </w:pPr>
            <w:r>
              <w:rPr>
                <w:rFonts w:hint="eastAsia" w:ascii="Times New Roman" w:hAnsi="Times New Roman" w:eastAsia="宋体" w:cs="宋体"/>
                <w:kern w:val="0"/>
                <w:sz w:val="19"/>
                <w:szCs w:val="19"/>
              </w:rPr>
              <w:t>1</w:t>
            </w:r>
            <w:r>
              <w:rPr>
                <w:rFonts w:hint="eastAsia" w:ascii="宋体" w:hAnsi="宋体" w:eastAsia="宋体" w:cs="宋体"/>
                <w:kern w:val="0"/>
                <w:sz w:val="19"/>
                <w:szCs w:val="19"/>
              </w:rPr>
              <w:t>.须具有泰州市户籍</w:t>
            </w:r>
            <w:r>
              <w:rPr>
                <w:rFonts w:hint="eastAsia" w:ascii="宋体" w:hAnsi="宋体" w:eastAsia="宋体" w:cs="宋体"/>
                <w:kern w:val="0"/>
                <w:sz w:val="19"/>
                <w:szCs w:val="19"/>
                <w:lang w:eastAsia="zh-CN"/>
              </w:rPr>
              <w:t>，</w:t>
            </w:r>
            <w:r>
              <w:rPr>
                <w:rFonts w:hint="eastAsia" w:ascii="宋体" w:hAnsi="宋体" w:eastAsia="宋体" w:cs="宋体"/>
                <w:kern w:val="0"/>
                <w:sz w:val="19"/>
                <w:szCs w:val="19"/>
                <w:lang w:val="en-US" w:eastAsia="zh-CN"/>
              </w:rPr>
              <w:t>清华大学、北京大学不限户籍</w:t>
            </w:r>
            <w:r>
              <w:rPr>
                <w:rFonts w:hint="eastAsia" w:ascii="宋体" w:hAnsi="宋体" w:eastAsia="宋体" w:cs="宋体"/>
                <w:kern w:val="0"/>
                <w:sz w:val="19"/>
                <w:szCs w:val="19"/>
              </w:rPr>
              <w:t>（以报名截止日前本人、父母或配偶的户籍状态为准）；</w:t>
            </w:r>
            <w:r>
              <w:rPr>
                <w:rFonts w:ascii="Calibri" w:hAnsi="Calibri" w:eastAsia="宋体" w:cs="宋体"/>
                <w:kern w:val="0"/>
                <w:sz w:val="19"/>
                <w:szCs w:val="19"/>
              </w:rPr>
              <w:br w:type="textWrapping"/>
            </w:r>
            <w:r>
              <w:rPr>
                <w:rFonts w:ascii="Times New Roman" w:hAnsi="Times New Roman" w:eastAsia="宋体" w:cs="宋体"/>
                <w:kern w:val="0"/>
                <w:sz w:val="19"/>
                <w:szCs w:val="19"/>
              </w:rPr>
              <w:t>2</w:t>
            </w:r>
            <w:r>
              <w:rPr>
                <w:rFonts w:ascii="Calibri" w:hAnsi="Calibri" w:eastAsia="宋体" w:cs="宋体"/>
                <w:kern w:val="0"/>
                <w:sz w:val="19"/>
                <w:szCs w:val="19"/>
              </w:rPr>
              <w:t>.</w:t>
            </w:r>
            <w:r>
              <w:rPr>
                <w:rFonts w:hint="eastAsia" w:ascii="宋体" w:hAnsi="宋体" w:eastAsia="宋体" w:cs="宋体"/>
                <w:kern w:val="0"/>
                <w:sz w:val="19"/>
                <w:szCs w:val="19"/>
              </w:rPr>
              <w:t>毕业学校应具备以下条件之一：</w:t>
            </w:r>
            <w:r>
              <w:rPr>
                <w:rFonts w:hint="eastAsia" w:ascii="宋体" w:hAnsi="宋体" w:eastAsia="宋体" w:cs="宋体"/>
                <w:kern w:val="0"/>
                <w:sz w:val="19"/>
                <w:szCs w:val="19"/>
              </w:rPr>
              <w:br w:type="textWrapping"/>
            </w:r>
            <w:r>
              <w:rPr>
                <w:rFonts w:ascii="宋体" w:hAnsi="宋体" w:eastAsia="宋体" w:cs="宋体"/>
                <w:kern w:val="0"/>
                <w:sz w:val="20"/>
                <w:szCs w:val="20"/>
              </w:rPr>
              <w:t>①</w:t>
            </w:r>
            <w:r>
              <w:rPr>
                <w:rFonts w:hint="eastAsia" w:ascii="宋体" w:hAnsi="宋体" w:eastAsia="宋体" w:cs="宋体"/>
                <w:kern w:val="0"/>
                <w:sz w:val="20"/>
                <w:szCs w:val="20"/>
              </w:rPr>
              <w:t>第一轮“一流大学”建设高校全日制本科毕业生；</w:t>
            </w:r>
            <w:r>
              <w:rPr>
                <w:rFonts w:hint="eastAsia" w:ascii="宋体" w:hAnsi="宋体" w:eastAsia="宋体" w:cs="宋体"/>
                <w:kern w:val="0"/>
                <w:sz w:val="20"/>
                <w:szCs w:val="20"/>
              </w:rPr>
              <w:br w:type="textWrapping"/>
            </w:r>
            <w:r>
              <w:rPr>
                <w:rFonts w:ascii="宋体" w:hAnsi="宋体" w:eastAsia="宋体" w:cs="宋体"/>
                <w:kern w:val="0"/>
                <w:sz w:val="20"/>
                <w:szCs w:val="20"/>
              </w:rPr>
              <w:t>②</w:t>
            </w:r>
            <w:r>
              <w:rPr>
                <w:rFonts w:hint="eastAsia" w:ascii="宋体" w:hAnsi="宋体" w:eastAsia="宋体" w:cs="宋体"/>
                <w:kern w:val="0"/>
                <w:sz w:val="20"/>
                <w:szCs w:val="20"/>
              </w:rPr>
              <w:t>第二轮“双一流”建设高校全日制硕士研究生及以上学历毕业生（本科须为第二轮“双一流”建设高校全日制毕业生）；</w:t>
            </w:r>
            <w:r>
              <w:rPr>
                <w:rFonts w:hint="eastAsia" w:ascii="宋体" w:hAnsi="宋体" w:eastAsia="宋体" w:cs="宋体"/>
                <w:kern w:val="0"/>
                <w:sz w:val="20"/>
                <w:szCs w:val="20"/>
              </w:rPr>
              <w:br w:type="textWrapping"/>
            </w:r>
            <w:r>
              <w:rPr>
                <w:rFonts w:hint="eastAsia" w:ascii="宋体" w:hAnsi="宋体" w:eastAsia="宋体" w:cs="宋体"/>
                <w:kern w:val="0"/>
                <w:sz w:val="20"/>
                <w:szCs w:val="20"/>
              </w:rPr>
              <w:t>③最新世界大学排名榜单（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名国（境）外高校的全日制硕士研究生及以上学历毕业生（本科须为第二轮“双一流”建设高校全日制毕业生）。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19"/>
                <w:szCs w:val="19"/>
              </w:rPr>
            </w:pPr>
            <w:r>
              <w:rPr>
                <w:rFonts w:hint="default" w:ascii="Times New Roman" w:hAnsi="Times New Roman" w:eastAsia="宋体" w:cs="Times New Roman"/>
                <w:kern w:val="0"/>
                <w:sz w:val="19"/>
                <w:szCs w:val="19"/>
              </w:rPr>
              <w:t>电子邮箱：hlnqgb@126.com</w:t>
            </w:r>
            <w:r>
              <w:rPr>
                <w:rFonts w:hint="default" w:ascii="Times New Roman" w:hAnsi="Times New Roman" w:eastAsia="宋体" w:cs="Times New Roman"/>
                <w:kern w:val="0"/>
                <w:sz w:val="19"/>
                <w:szCs w:val="19"/>
              </w:rPr>
              <w:br w:type="textWrapping"/>
            </w:r>
            <w:r>
              <w:rPr>
                <w:rFonts w:hint="default" w:ascii="Times New Roman" w:hAnsi="Times New Roman" w:eastAsia="宋体" w:cs="Times New Roman"/>
                <w:kern w:val="0"/>
                <w:sz w:val="19"/>
                <w:szCs w:val="19"/>
              </w:rPr>
              <w:t>咨询电话：0523-86221506</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Times New Roman" w:hAnsi="Times New Roman" w:eastAsia="宋体" w:cs="宋体"/>
                <w:kern w:val="0"/>
                <w:sz w:val="19"/>
                <w:szCs w:val="19"/>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综合能力测试</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kern w:val="0"/>
                <w:sz w:val="19"/>
                <w:szCs w:val="19"/>
              </w:rPr>
            </w:pPr>
            <w:r>
              <w:rPr>
                <w:rFonts w:hint="eastAsia" w:ascii="宋体" w:hAnsi="宋体" w:eastAsia="宋体" w:cs="宋体"/>
                <w:kern w:val="0"/>
                <w:sz w:val="19"/>
                <w:szCs w:val="19"/>
              </w:rPr>
              <w:t>聘用人员按照相关政策规定享受“购房券”、生活补贴等待遇。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9"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海陵区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Times New Roman" w:hAnsi="Times New Roman" w:eastAsia="宋体" w:cs="宋体"/>
                <w:kern w:val="0"/>
                <w:sz w:val="19"/>
                <w:szCs w:val="19"/>
              </w:rPr>
              <w:t>5A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19"/>
                <w:szCs w:val="19"/>
              </w:rPr>
            </w:pPr>
            <w:r>
              <w:rPr>
                <w:rFonts w:hint="eastAsia" w:ascii="宋体" w:hAnsi="宋体" w:eastAsia="宋体" w:cs="宋体"/>
                <w:kern w:val="0"/>
                <w:sz w:val="19"/>
                <w:szCs w:val="19"/>
              </w:rPr>
              <w:t>海陵区</w:t>
            </w:r>
          </w:p>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干部规划发展中心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综合类</w:t>
            </w:r>
            <w:r>
              <w:rPr>
                <w:rFonts w:hint="eastAsia" w:ascii="宋体" w:hAnsi="宋体" w:eastAsia="宋体" w:cs="宋体"/>
                <w:kern w:val="0"/>
                <w:sz w:val="19"/>
                <w:szCs w:val="19"/>
              </w:rPr>
              <w:br w:type="textWrapping"/>
            </w:r>
            <w:r>
              <w:rPr>
                <w:rFonts w:hint="eastAsia" w:ascii="宋体" w:hAnsi="宋体" w:eastAsia="宋体" w:cs="宋体"/>
                <w:kern w:val="0"/>
                <w:sz w:val="19"/>
                <w:szCs w:val="19"/>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19"/>
                <w:szCs w:val="19"/>
              </w:rPr>
            </w:pPr>
            <w:r>
              <w:rPr>
                <w:rFonts w:ascii="Times New Roman" w:hAnsi="Times New Roman" w:eastAsia="宋体" w:cs="Times New Roman"/>
                <w:kern w:val="0"/>
                <w:sz w:val="19"/>
                <w:szCs w:val="19"/>
              </w:rPr>
              <w:t>5A-2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Times New Roman" w:hAnsi="Times New Roman" w:eastAsia="宋体" w:cs="宋体"/>
                <w:kern w:val="0"/>
                <w:sz w:val="19"/>
                <w:szCs w:val="19"/>
              </w:rPr>
              <w:t>8</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19"/>
                <w:szCs w:val="19"/>
              </w:rPr>
            </w:pPr>
            <w:r>
              <w:rPr>
                <w:rFonts w:hint="eastAsia" w:ascii="宋体" w:hAnsi="宋体" w:eastAsia="宋体" w:cs="宋体"/>
                <w:kern w:val="0"/>
                <w:sz w:val="19"/>
                <w:szCs w:val="19"/>
              </w:rPr>
              <w:t>本科</w:t>
            </w:r>
          </w:p>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19"/>
                <w:szCs w:val="19"/>
              </w:rPr>
            </w:pPr>
            <w:r>
              <w:rPr>
                <w:rFonts w:hint="eastAsia" w:ascii="宋体" w:hAnsi="宋体" w:eastAsia="宋体" w:cs="宋体"/>
                <w:kern w:val="0"/>
                <w:sz w:val="19"/>
                <w:szCs w:val="19"/>
              </w:rPr>
              <w:t>不限</w:t>
            </w:r>
          </w:p>
        </w:tc>
        <w:tc>
          <w:tcPr>
            <w:tcW w:w="846"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19"/>
                <w:szCs w:val="19"/>
              </w:rPr>
            </w:pPr>
          </w:p>
        </w:tc>
        <w:tc>
          <w:tcPr>
            <w:tcW w:w="345"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19"/>
                <w:szCs w:val="19"/>
              </w:rPr>
            </w:pPr>
          </w:p>
        </w:tc>
        <w:tc>
          <w:tcPr>
            <w:tcW w:w="183"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19"/>
                <w:szCs w:val="19"/>
              </w:rPr>
            </w:pPr>
          </w:p>
        </w:tc>
        <w:tc>
          <w:tcPr>
            <w:tcW w:w="267"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19"/>
                <w:szCs w:val="19"/>
              </w:rPr>
            </w:pPr>
          </w:p>
        </w:tc>
        <w:tc>
          <w:tcPr>
            <w:tcW w:w="5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19"/>
                <w:szCs w:val="19"/>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姜堰区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姜堰区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青年干部培训中心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不限</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应具备以下条件之一：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w:t>
            </w:r>
            <w:r>
              <w:rPr>
                <w:rFonts w:hint="eastAsia" w:ascii="宋体" w:hAnsi="宋体" w:eastAsia="宋体" w:cs="宋体"/>
                <w:kern w:val="0"/>
                <w:sz w:val="20"/>
                <w:szCs w:val="20"/>
              </w:rPr>
              <w:t>第一轮“一流大学”建设高校全日制本科及以上学历毕业生</w:t>
            </w:r>
            <w:r>
              <w:rPr>
                <w:rFonts w:hint="eastAsia" w:ascii="宋体" w:hAnsi="宋体" w:eastAsia="宋体" w:cs="宋体"/>
                <w:kern w:val="0"/>
                <w:sz w:val="20"/>
                <w:szCs w:val="20"/>
                <w:lang w:eastAsia="zh-CN"/>
              </w:rPr>
              <w:t>；</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宋体"/>
                <w:kern w:val="0"/>
                <w:sz w:val="20"/>
                <w:szCs w:val="20"/>
              </w:rPr>
              <w:t>第二轮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建设高校全日制硕士研究生及以上学历毕业生</w:t>
            </w:r>
            <w:r>
              <w:rPr>
                <w:rFonts w:hint="eastAsia" w:ascii="宋体" w:hAnsi="宋体" w:eastAsia="宋体" w:cs="宋体"/>
                <w:kern w:val="0"/>
                <w:sz w:val="20"/>
                <w:szCs w:val="20"/>
                <w:lang w:eastAsia="zh-CN"/>
              </w:rPr>
              <w:t>；</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宋体"/>
                <w:kern w:val="0"/>
                <w:sz w:val="20"/>
                <w:szCs w:val="20"/>
              </w:rPr>
              <w:t>最新世界大学排名榜单（</w:t>
            </w:r>
            <w:r>
              <w:rPr>
                <w:rFonts w:ascii="Times New Roman" w:hAnsi="Times New Roman" w:eastAsia="宋体" w:cs="Times New Roman"/>
                <w:kern w:val="0"/>
                <w:sz w:val="20"/>
                <w:szCs w:val="20"/>
              </w:rPr>
              <w:t>QS</w:t>
            </w:r>
            <w:r>
              <w:rPr>
                <w:rFonts w:hint="eastAsia" w:ascii="宋体" w:hAnsi="宋体" w:eastAsia="宋体" w:cs="宋体"/>
                <w:kern w:val="0"/>
                <w:sz w:val="20"/>
                <w:szCs w:val="20"/>
              </w:rPr>
              <w:t>、</w:t>
            </w:r>
            <w:r>
              <w:rPr>
                <w:rFonts w:ascii="Times New Roman" w:hAnsi="Times New Roman" w:eastAsia="宋体" w:cs="Times New Roman"/>
                <w:kern w:val="0"/>
                <w:sz w:val="20"/>
                <w:szCs w:val="20"/>
              </w:rPr>
              <w:t>THE</w:t>
            </w:r>
            <w:r>
              <w:rPr>
                <w:rFonts w:hint="eastAsia" w:ascii="宋体" w:hAnsi="宋体" w:eastAsia="宋体" w:cs="宋体"/>
                <w:kern w:val="0"/>
                <w:sz w:val="20"/>
                <w:szCs w:val="20"/>
              </w:rPr>
              <w:t>、</w:t>
            </w:r>
            <w:r>
              <w:rPr>
                <w:rFonts w:ascii="Times New Roman" w:hAnsi="Times New Roman" w:eastAsia="宋体" w:cs="Times New Roman"/>
                <w:kern w:val="0"/>
                <w:sz w:val="20"/>
                <w:szCs w:val="20"/>
              </w:rPr>
              <w:t>U.S.NEWS</w:t>
            </w:r>
            <w:r>
              <w:rPr>
                <w:rFonts w:hint="eastAsia" w:ascii="宋体" w:hAnsi="宋体" w:eastAsia="宋体" w:cs="宋体"/>
                <w:kern w:val="0"/>
                <w:sz w:val="20"/>
                <w:szCs w:val="20"/>
              </w:rPr>
              <w:t>、</w:t>
            </w:r>
            <w:r>
              <w:rPr>
                <w:rFonts w:ascii="Times New Roman" w:hAnsi="Times New Roman" w:eastAsia="宋体" w:cs="Times New Roman"/>
                <w:kern w:val="0"/>
                <w:sz w:val="20"/>
                <w:szCs w:val="20"/>
              </w:rPr>
              <w:t>ARWU</w:t>
            </w:r>
            <w:r>
              <w:rPr>
                <w:rFonts w:hint="eastAsia" w:ascii="宋体" w:hAnsi="宋体" w:eastAsia="宋体" w:cs="宋体"/>
                <w:kern w:val="0"/>
                <w:sz w:val="20"/>
                <w:szCs w:val="20"/>
              </w:rPr>
              <w:t>、</w:t>
            </w:r>
            <w:r>
              <w:rPr>
                <w:rFonts w:ascii="Times New Roman" w:hAnsi="Times New Roman" w:eastAsia="宋体" w:cs="Times New Roman"/>
                <w:kern w:val="0"/>
                <w:sz w:val="20"/>
                <w:szCs w:val="20"/>
              </w:rPr>
              <w:t>CWUR</w:t>
            </w:r>
            <w:r>
              <w:rPr>
                <w:rFonts w:hint="eastAsia" w:ascii="宋体" w:hAnsi="宋体" w:eastAsia="宋体" w:cs="宋体"/>
                <w:kern w:val="0"/>
                <w:sz w:val="20"/>
                <w:szCs w:val="20"/>
              </w:rPr>
              <w:t>）前</w:t>
            </w:r>
            <w:r>
              <w:rPr>
                <w:rFonts w:ascii="Times New Roman" w:hAnsi="Times New Roman" w:eastAsia="宋体" w:cs="Times New Roman"/>
                <w:kern w:val="0"/>
                <w:sz w:val="20"/>
                <w:szCs w:val="20"/>
              </w:rPr>
              <w:t>100</w:t>
            </w:r>
            <w:r>
              <w:rPr>
                <w:rFonts w:hint="eastAsia" w:ascii="宋体" w:hAnsi="宋体" w:eastAsia="宋体" w:cs="宋体"/>
                <w:kern w:val="0"/>
                <w:sz w:val="20"/>
                <w:szCs w:val="20"/>
              </w:rPr>
              <w:t>名国（境）外高校的全日制硕士研究生及以上学历毕业生。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电子邮箱：jyqzzbghb@126.com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咨询电话：0523-88869128</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结构化面谈</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无领导小组讨论</w:t>
            </w:r>
          </w:p>
        </w:tc>
        <w:tc>
          <w:tcPr>
            <w:tcW w:w="582" w:type="pct"/>
            <w:vMerge w:val="restart"/>
            <w:shd w:val="clear" w:color="auto" w:fill="auto"/>
            <w:tcMar>
              <w:top w:w="28" w:type="dxa"/>
              <w:left w:w="57" w:type="dxa"/>
              <w:bottom w:w="28" w:type="dxa"/>
              <w:right w:w="57" w:type="dxa"/>
            </w:tcMar>
            <w:vAlign w:val="center"/>
          </w:tcPr>
          <w:p>
            <w:pPr>
              <w:widowControl/>
              <w:numPr>
                <w:ilvl w:val="0"/>
                <w:numId w:val="0"/>
              </w:numPr>
              <w:spacing w:line="240" w:lineRule="exact"/>
              <w:jc w:val="left"/>
              <w:rPr>
                <w:rFonts w:hint="eastAsia" w:ascii="宋体" w:hAnsi="宋体" w:eastAsia="宋体" w:cs="Times New Roman"/>
                <w:kern w:val="0"/>
                <w:sz w:val="20"/>
                <w:szCs w:val="20"/>
                <w:lang w:eastAsia="zh-CN"/>
              </w:rPr>
            </w:pPr>
            <w:r>
              <w:rPr>
                <w:rFonts w:hint="eastAsia" w:ascii="宋体" w:hAnsi="宋体" w:eastAsia="宋体" w:cs="Times New Roman"/>
                <w:kern w:val="0"/>
                <w:sz w:val="20"/>
                <w:szCs w:val="20"/>
                <w:lang w:val="en-US" w:eastAsia="zh-CN" w:bidi="ar-SA"/>
              </w:rPr>
              <w:t>1.</w:t>
            </w:r>
            <w:r>
              <w:rPr>
                <w:rFonts w:hint="eastAsia" w:ascii="宋体" w:hAnsi="宋体" w:eastAsia="宋体" w:cs="Times New Roman"/>
                <w:kern w:val="0"/>
                <w:sz w:val="20"/>
                <w:szCs w:val="20"/>
              </w:rPr>
              <w:t>可申请享受相应生活补贴待遇</w:t>
            </w:r>
            <w:r>
              <w:rPr>
                <w:rFonts w:hint="eastAsia" w:ascii="宋体" w:hAnsi="宋体" w:eastAsia="宋体" w:cs="Times New Roman"/>
                <w:kern w:val="0"/>
                <w:sz w:val="20"/>
                <w:szCs w:val="20"/>
                <w:lang w:eastAsia="zh-CN"/>
              </w:rPr>
              <w:t>；</w:t>
            </w:r>
          </w:p>
          <w:p>
            <w:pPr>
              <w:widowControl/>
              <w:numPr>
                <w:ilvl w:val="0"/>
                <w:numId w:val="0"/>
              </w:numPr>
              <w:spacing w:line="240" w:lineRule="exact"/>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可申请入住区级人才公寓</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姜堰区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姜堰区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青年干部培训中心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综合类</w:t>
            </w:r>
            <w:r>
              <w:rPr>
                <w:rFonts w:ascii="Times New Roman" w:hAnsi="Times New Roman" w:eastAsia="宋体" w:cs="Times New Roman"/>
                <w:kern w:val="0"/>
                <w:sz w:val="20"/>
                <w:szCs w:val="20"/>
              </w:rPr>
              <w:br w:type="textWrapping"/>
            </w:r>
            <w:r>
              <w:rPr>
                <w:rFonts w:hint="eastAsia" w:ascii="宋体" w:hAnsi="宋体" w:eastAsia="宋体" w:cs="Times New Roman"/>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不限</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姜堰区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姜堰区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青年干部培训中心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专业</w:t>
            </w:r>
            <w:r>
              <w:rPr>
                <w:rFonts w:ascii="Times New Roman" w:hAnsi="Times New Roman" w:eastAsia="宋体" w:cs="Times New Roman"/>
                <w:kern w:val="0"/>
                <w:sz w:val="20"/>
                <w:szCs w:val="20"/>
              </w:rPr>
              <w:t>1</w:t>
            </w:r>
            <w:r>
              <w:rPr>
                <w:rFonts w:hint="eastAsia" w:ascii="宋体" w:hAnsi="宋体" w:eastAsia="宋体" w:cs="宋体"/>
                <w:kern w:val="0"/>
                <w:sz w:val="20"/>
                <w:szCs w:val="20"/>
              </w:rPr>
              <w:t>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经济类、财务财会类、法律类</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姜堰区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姜堰区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青年干部培训中心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专业</w:t>
            </w:r>
            <w:r>
              <w:rPr>
                <w:rFonts w:ascii="Times New Roman" w:hAnsi="Times New Roman" w:eastAsia="宋体" w:cs="Times New Roman"/>
                <w:kern w:val="0"/>
                <w:sz w:val="20"/>
                <w:szCs w:val="20"/>
              </w:rPr>
              <w:t>1</w:t>
            </w:r>
            <w:r>
              <w:rPr>
                <w:rFonts w:hint="eastAsia" w:ascii="宋体" w:hAnsi="宋体" w:eastAsia="宋体" w:cs="宋体"/>
                <w:kern w:val="0"/>
                <w:sz w:val="20"/>
                <w:szCs w:val="20"/>
              </w:rPr>
              <w:t>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经济类、财务财会类、法律类</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9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姜堰区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姜堰区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青年干部培训中心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专业</w:t>
            </w:r>
            <w:r>
              <w:rPr>
                <w:rFonts w:ascii="Times New Roman" w:hAnsi="Times New Roman" w:eastAsia="宋体" w:cs="Times New Roman"/>
                <w:kern w:val="0"/>
                <w:sz w:val="20"/>
                <w:szCs w:val="20"/>
              </w:rPr>
              <w:t>2</w:t>
            </w:r>
            <w:r>
              <w:rPr>
                <w:rFonts w:hint="eastAsia" w:ascii="宋体" w:hAnsi="宋体" w:eastAsia="宋体" w:cs="宋体"/>
                <w:kern w:val="0"/>
                <w:sz w:val="20"/>
                <w:szCs w:val="20"/>
              </w:rPr>
              <w:t>类</w:t>
            </w:r>
            <w:r>
              <w:rPr>
                <w:rFonts w:ascii="Times New Roman" w:hAnsi="Times New Roman" w:eastAsia="宋体" w:cs="Times New Roman"/>
                <w:kern w:val="0"/>
                <w:sz w:val="20"/>
                <w:szCs w:val="20"/>
              </w:rPr>
              <w:br w:type="textWrapping"/>
            </w:r>
            <w:r>
              <w:rPr>
                <w:rFonts w:hint="eastAsia" w:ascii="宋体" w:hAnsi="宋体" w:eastAsia="宋体" w:cs="宋体"/>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药学类，医药化工类，生物医学工程、康复辅助器具技术、医学生物技术、机械制造及其自动化、精密仪器</w:t>
            </w:r>
            <w:r>
              <w:rPr>
                <w:rFonts w:hint="eastAsia" w:ascii="宋体" w:hAnsi="宋体" w:eastAsia="宋体" w:cs="宋体"/>
                <w:kern w:val="0"/>
                <w:sz w:val="20"/>
                <w:szCs w:val="20"/>
                <w:lang w:val="en-US" w:eastAsia="zh-CN"/>
              </w:rPr>
              <w:t>及机械</w:t>
            </w:r>
            <w:r>
              <w:rPr>
                <w:rFonts w:hint="eastAsia" w:ascii="宋体" w:hAnsi="宋体" w:eastAsia="宋体" w:cs="宋体"/>
                <w:kern w:val="0"/>
                <w:sz w:val="20"/>
                <w:szCs w:val="20"/>
              </w:rPr>
              <w:t>、车辆工程、流体机械及工程、石油与天然气工程、油气储运工程、光学工程、能源动力、光电信息工程、动力工程及工程热物理、材料物理与化学、材料加工工程、冶金物理化学、高分子化学与物理、通信与信息系统、电子与通信工程、电气工程、机械电子工程、电气自动化</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9"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姜堰区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姜堰区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青年干部培训中心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专业</w:t>
            </w:r>
            <w:r>
              <w:rPr>
                <w:rFonts w:ascii="Times New Roman" w:hAnsi="Times New Roman" w:eastAsia="宋体" w:cs="Times New Roman"/>
                <w:kern w:val="0"/>
                <w:sz w:val="20"/>
                <w:szCs w:val="20"/>
              </w:rPr>
              <w:t>2</w:t>
            </w:r>
            <w:r>
              <w:rPr>
                <w:rFonts w:hint="eastAsia" w:ascii="宋体" w:hAnsi="宋体" w:eastAsia="宋体" w:cs="宋体"/>
                <w:kern w:val="0"/>
                <w:sz w:val="20"/>
                <w:szCs w:val="20"/>
              </w:rPr>
              <w:t>类</w:t>
            </w:r>
            <w:r>
              <w:rPr>
                <w:rFonts w:ascii="Times New Roman" w:hAnsi="Times New Roman" w:eastAsia="宋体" w:cs="Times New Roman"/>
                <w:kern w:val="0"/>
                <w:sz w:val="20"/>
                <w:szCs w:val="20"/>
              </w:rPr>
              <w:br w:type="textWrapping"/>
            </w:r>
            <w:r>
              <w:rPr>
                <w:rFonts w:hint="eastAsia" w:ascii="宋体" w:hAnsi="宋体" w:eastAsia="宋体" w:cs="宋体"/>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药学类，医药化工类，生物医学工程、康复辅助器具技术、医学生物技术、机械制造及其自动化、精密仪器</w:t>
            </w:r>
            <w:r>
              <w:rPr>
                <w:rFonts w:hint="eastAsia" w:ascii="宋体" w:hAnsi="宋体" w:eastAsia="宋体" w:cs="宋体"/>
                <w:kern w:val="0"/>
                <w:sz w:val="20"/>
                <w:szCs w:val="20"/>
                <w:lang w:val="en-US" w:eastAsia="zh-CN"/>
              </w:rPr>
              <w:t>及机械</w:t>
            </w:r>
            <w:r>
              <w:rPr>
                <w:rFonts w:hint="eastAsia" w:ascii="宋体" w:hAnsi="宋体" w:eastAsia="宋体" w:cs="宋体"/>
                <w:kern w:val="0"/>
                <w:sz w:val="20"/>
                <w:szCs w:val="20"/>
              </w:rPr>
              <w:t>、车辆工程、流体机械及工程、石油与天然气工程、油气储运工程、光学工程、能源动力、光电信息工程、动力工程及工程热物理、材料物理与化学、材料加工工程、冶金物理化学、高分子化学与物理、通信与信息系统、电子与通信工程、电气工程、机械电子工程、电气自动化</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应具备以下条件之一：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w:t>
            </w:r>
            <w:r>
              <w:rPr>
                <w:rFonts w:hint="eastAsia" w:ascii="宋体" w:hAnsi="宋体" w:eastAsia="宋体" w:cs="宋体"/>
                <w:kern w:val="0"/>
                <w:sz w:val="20"/>
                <w:szCs w:val="20"/>
              </w:rPr>
              <w:t>第一轮“一流大学”建设高校全日制本科及以上学历毕业生</w:t>
            </w:r>
            <w:r>
              <w:rPr>
                <w:rFonts w:hint="eastAsia" w:ascii="宋体" w:hAnsi="宋体" w:eastAsia="宋体" w:cs="宋体"/>
                <w:kern w:val="0"/>
                <w:sz w:val="20"/>
                <w:szCs w:val="20"/>
                <w:lang w:eastAsia="zh-CN"/>
              </w:rPr>
              <w:t>；</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宋体"/>
                <w:kern w:val="0"/>
                <w:sz w:val="20"/>
                <w:szCs w:val="20"/>
              </w:rPr>
              <w:t>第二轮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建设高校全日制硕士研究生及以上学历毕业生</w:t>
            </w:r>
            <w:r>
              <w:rPr>
                <w:rFonts w:hint="eastAsia" w:ascii="宋体" w:hAnsi="宋体" w:eastAsia="宋体" w:cs="宋体"/>
                <w:kern w:val="0"/>
                <w:sz w:val="20"/>
                <w:szCs w:val="20"/>
                <w:lang w:eastAsia="zh-CN"/>
              </w:rPr>
              <w:t>；</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宋体"/>
                <w:kern w:val="0"/>
                <w:sz w:val="20"/>
                <w:szCs w:val="20"/>
              </w:rPr>
              <w:t>最新世界大学排名榜单（</w:t>
            </w:r>
            <w:r>
              <w:rPr>
                <w:rFonts w:ascii="Times New Roman" w:hAnsi="Times New Roman" w:eastAsia="宋体" w:cs="Times New Roman"/>
                <w:kern w:val="0"/>
                <w:sz w:val="20"/>
                <w:szCs w:val="20"/>
              </w:rPr>
              <w:t>QS</w:t>
            </w:r>
            <w:r>
              <w:rPr>
                <w:rFonts w:hint="eastAsia" w:ascii="宋体" w:hAnsi="宋体" w:eastAsia="宋体" w:cs="宋体"/>
                <w:kern w:val="0"/>
                <w:sz w:val="20"/>
                <w:szCs w:val="20"/>
              </w:rPr>
              <w:t>、</w:t>
            </w:r>
            <w:r>
              <w:rPr>
                <w:rFonts w:ascii="Times New Roman" w:hAnsi="Times New Roman" w:eastAsia="宋体" w:cs="Times New Roman"/>
                <w:kern w:val="0"/>
                <w:sz w:val="20"/>
                <w:szCs w:val="20"/>
              </w:rPr>
              <w:t>THE</w:t>
            </w:r>
            <w:r>
              <w:rPr>
                <w:rFonts w:hint="eastAsia" w:ascii="宋体" w:hAnsi="宋体" w:eastAsia="宋体" w:cs="宋体"/>
                <w:kern w:val="0"/>
                <w:sz w:val="20"/>
                <w:szCs w:val="20"/>
              </w:rPr>
              <w:t>、</w:t>
            </w:r>
            <w:r>
              <w:rPr>
                <w:rFonts w:ascii="Times New Roman" w:hAnsi="Times New Roman" w:eastAsia="宋体" w:cs="Times New Roman"/>
                <w:kern w:val="0"/>
                <w:sz w:val="20"/>
                <w:szCs w:val="20"/>
              </w:rPr>
              <w:t>U.S.NEWS</w:t>
            </w:r>
            <w:r>
              <w:rPr>
                <w:rFonts w:hint="eastAsia" w:ascii="宋体" w:hAnsi="宋体" w:eastAsia="宋体" w:cs="宋体"/>
                <w:kern w:val="0"/>
                <w:sz w:val="20"/>
                <w:szCs w:val="20"/>
              </w:rPr>
              <w:t>、</w:t>
            </w:r>
            <w:r>
              <w:rPr>
                <w:rFonts w:ascii="Times New Roman" w:hAnsi="Times New Roman" w:eastAsia="宋体" w:cs="Times New Roman"/>
                <w:kern w:val="0"/>
                <w:sz w:val="20"/>
                <w:szCs w:val="20"/>
              </w:rPr>
              <w:t>ARWU</w:t>
            </w:r>
            <w:r>
              <w:rPr>
                <w:rFonts w:hint="eastAsia" w:ascii="宋体" w:hAnsi="宋体" w:eastAsia="宋体" w:cs="宋体"/>
                <w:kern w:val="0"/>
                <w:sz w:val="20"/>
                <w:szCs w:val="20"/>
              </w:rPr>
              <w:t>、</w:t>
            </w:r>
            <w:r>
              <w:rPr>
                <w:rFonts w:ascii="Times New Roman" w:hAnsi="Times New Roman" w:eastAsia="宋体" w:cs="Times New Roman"/>
                <w:kern w:val="0"/>
                <w:sz w:val="20"/>
                <w:szCs w:val="20"/>
              </w:rPr>
              <w:t>CWUR</w:t>
            </w:r>
            <w:r>
              <w:rPr>
                <w:rFonts w:hint="eastAsia" w:ascii="宋体" w:hAnsi="宋体" w:eastAsia="宋体" w:cs="宋体"/>
                <w:kern w:val="0"/>
                <w:sz w:val="20"/>
                <w:szCs w:val="20"/>
              </w:rPr>
              <w:t>）前</w:t>
            </w:r>
            <w:r>
              <w:rPr>
                <w:rFonts w:ascii="Times New Roman" w:hAnsi="Times New Roman" w:eastAsia="宋体" w:cs="Times New Roman"/>
                <w:kern w:val="0"/>
                <w:sz w:val="20"/>
                <w:szCs w:val="20"/>
              </w:rPr>
              <w:t>100</w:t>
            </w:r>
            <w:r>
              <w:rPr>
                <w:rFonts w:hint="eastAsia" w:ascii="宋体" w:hAnsi="宋体" w:eastAsia="宋体" w:cs="宋体"/>
                <w:kern w:val="0"/>
                <w:sz w:val="20"/>
                <w:szCs w:val="20"/>
              </w:rPr>
              <w:t>名国（境）外高校的全日制硕士研究生及以上学历毕业生。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电子邮箱：jyqzzbghb@126.com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咨询电话：0523-88869128</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结构化面谈</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无领导小组讨论</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r>
              <w:rPr>
                <w:rFonts w:hint="eastAsia" w:ascii="宋体" w:hAnsi="宋体" w:eastAsia="宋体" w:cs="Times New Roman"/>
                <w:kern w:val="0"/>
                <w:sz w:val="20"/>
                <w:szCs w:val="20"/>
              </w:rPr>
              <w:t>可申请享受相应生活补贴待遇</w:t>
            </w:r>
            <w:r>
              <w:rPr>
                <w:rFonts w:hint="eastAsia" w:ascii="宋体" w:hAnsi="宋体" w:eastAsia="宋体" w:cs="Times New Roman"/>
                <w:kern w:val="0"/>
                <w:sz w:val="20"/>
                <w:szCs w:val="20"/>
                <w:lang w:eastAsia="zh-CN"/>
              </w:rPr>
              <w:t>；</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Times New Roman"/>
                <w:kern w:val="0"/>
                <w:sz w:val="20"/>
                <w:szCs w:val="20"/>
              </w:rPr>
              <w:t>可申请入住区级人才公寓</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9"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姜堰区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姜堰区</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青年干部培训中心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专业</w:t>
            </w:r>
            <w:r>
              <w:rPr>
                <w:rFonts w:ascii="Times New Roman" w:hAnsi="Times New Roman" w:eastAsia="宋体" w:cs="Times New Roman"/>
                <w:kern w:val="0"/>
                <w:sz w:val="20"/>
                <w:szCs w:val="20"/>
              </w:rPr>
              <w:t>3</w:t>
            </w:r>
            <w:r>
              <w:rPr>
                <w:rFonts w:hint="eastAsia" w:ascii="宋体" w:hAnsi="宋体" w:eastAsia="宋体" w:cs="Times New Roman"/>
                <w:kern w:val="0"/>
                <w:sz w:val="20"/>
                <w:szCs w:val="20"/>
              </w:rPr>
              <w:t>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6A-7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kern w:val="0"/>
                <w:sz w:val="20"/>
                <w:szCs w:val="20"/>
              </w:rPr>
            </w:pPr>
            <w:r>
              <w:rPr>
                <w:rFonts w:hint="eastAsia" w:ascii="宋体" w:hAnsi="宋体" w:eastAsia="宋体" w:cs="宋体"/>
                <w:kern w:val="0"/>
                <w:sz w:val="20"/>
                <w:szCs w:val="20"/>
              </w:rPr>
              <w:t>旅游管理、旅游规划与设计、旅游管理与服务教育、会展艺术与技术、环境艺术设计、酒店管理</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会展经济与管理、风景园林、风景园林学、园林植物与观赏园艺、景观学、景观设计、景观建筑设计、风景园林规划与设计</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6"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综合类</w:t>
            </w:r>
          </w:p>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7A-1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本科</w:t>
            </w:r>
          </w:p>
          <w:p>
            <w:pPr>
              <w:widowControl/>
              <w:spacing w:line="240" w:lineRule="exac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不限</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应具备以下条件之一：</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1</w:t>
            </w:r>
            <w:r>
              <w:rPr>
                <w:rFonts w:hint="eastAsia" w:ascii="宋体" w:hAnsi="宋体" w:eastAsia="宋体" w:cs="宋体"/>
                <w:kern w:val="0"/>
                <w:sz w:val="20"/>
                <w:szCs w:val="20"/>
              </w:rPr>
              <w:t>.第一轮“一流大学”建设高校全日制本科毕业生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2</w:t>
            </w:r>
            <w:r>
              <w:rPr>
                <w:rFonts w:hint="eastAsia" w:ascii="宋体" w:hAnsi="宋体" w:eastAsia="宋体" w:cs="宋体"/>
                <w:kern w:val="0"/>
                <w:sz w:val="20"/>
                <w:szCs w:val="20"/>
              </w:rPr>
              <w:t>.第一轮“一流大学”建设高校、第二轮“双一流”建设高校全日制硕士研究生及以上学历毕业生（本科须为第二轮“双一流”建设高校全日制毕业生）</w:t>
            </w:r>
            <w:r>
              <w:rPr>
                <w:rFonts w:hint="eastAsia" w:ascii="宋体" w:hAnsi="宋体" w:eastAsia="宋体" w:cs="宋体"/>
                <w:kern w:val="0"/>
                <w:sz w:val="20"/>
                <w:szCs w:val="20"/>
                <w:lang w:eastAsia="zh-CN"/>
              </w:rPr>
              <w:t>；</w:t>
            </w:r>
          </w:p>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3</w:t>
            </w:r>
            <w:r>
              <w:rPr>
                <w:rFonts w:hint="eastAsia" w:ascii="宋体" w:hAnsi="宋体" w:eastAsia="宋体" w:cs="宋体"/>
                <w:kern w:val="0"/>
                <w:sz w:val="20"/>
                <w:szCs w:val="20"/>
              </w:rPr>
              <w:t>.最新世界大学排名榜单（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名国（境）外高校的全日制硕士研究生及以上学历毕业生（本科须为第二轮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电子邮箱：tzgxdqzp@126.com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咨询电话：0523-86965195</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Times New Roman" w:hAnsi="Times New Roman" w:eastAsia="宋体" w:cs="宋体"/>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正式聘用人员按照相关政策规定享受“购房券”、生活补贴等待遇</w:t>
            </w:r>
            <w:r>
              <w:rPr>
                <w:rFonts w:hint="eastAsia" w:ascii="宋体" w:hAnsi="宋体" w:eastAsia="宋体" w:cs="宋体"/>
                <w:kern w:val="0"/>
                <w:sz w:val="20"/>
                <w:szCs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58"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综合类</w:t>
            </w:r>
          </w:p>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eastAsia="zh-CN"/>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本科</w:t>
            </w:r>
          </w:p>
          <w:p>
            <w:pPr>
              <w:widowControl/>
              <w:spacing w:line="240" w:lineRule="exac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不限</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rPr>
                <w:rFonts w:hint="eastAsia"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62"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药学类、生物工程类、医药化工类、医学类、公共卫生类</w:t>
            </w:r>
          </w:p>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Times New Roman" w:hAnsi="Times New Roman" w:eastAsia="宋体" w:cs="宋体"/>
                <w:kern w:val="0"/>
                <w:sz w:val="20"/>
                <w:szCs w:val="20"/>
              </w:rPr>
              <w:t>6</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药学类、生物工程类、医药化工类、医学类、公共卫生类</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rPr>
                <w:rFonts w:hint="eastAsia"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08"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药学类、生物工程类、医药化工类、医学类、公共卫生类</w:t>
            </w:r>
          </w:p>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Times New Roman" w:hAnsi="Times New Roman" w:eastAsia="宋体" w:cs="宋体"/>
                <w:kern w:val="0"/>
                <w:sz w:val="20"/>
                <w:szCs w:val="20"/>
              </w:rPr>
              <w:t>6</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药学类、生物工程类、医药化工类、医学类、公共卫生类</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rPr>
                <w:rFonts w:hint="eastAsia"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2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kern w:val="0"/>
                <w:sz w:val="20"/>
                <w:szCs w:val="20"/>
              </w:rPr>
              <w:t>经济类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（男生）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Times New Roman"/>
                <w:color w:val="000000"/>
                <w:kern w:val="0"/>
                <w:sz w:val="20"/>
                <w:szCs w:val="20"/>
                <w:lang w:val="en-US" w:eastAsia="zh-CN"/>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产业经济学、金融学、经济学、投资学、财政学、应用经济学、区域经济学、商务经济学、统计学、经济统计学、应用统计学、大数据与审计</w:t>
            </w:r>
          </w:p>
        </w:tc>
        <w:tc>
          <w:tcPr>
            <w:tcW w:w="846"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应具备以下条件之一：</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1</w:t>
            </w:r>
            <w:r>
              <w:rPr>
                <w:rFonts w:hint="eastAsia" w:ascii="宋体" w:hAnsi="宋体" w:eastAsia="宋体" w:cs="宋体"/>
                <w:kern w:val="0"/>
                <w:sz w:val="20"/>
                <w:szCs w:val="20"/>
              </w:rPr>
              <w:t>.第一轮“一流大学”建设高校全日制本科毕业生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2</w:t>
            </w:r>
            <w:r>
              <w:rPr>
                <w:rFonts w:hint="eastAsia" w:ascii="宋体" w:hAnsi="宋体" w:eastAsia="宋体" w:cs="宋体"/>
                <w:kern w:val="0"/>
                <w:sz w:val="20"/>
                <w:szCs w:val="20"/>
              </w:rPr>
              <w:t>.第一轮“一流大学”建设高校、第二轮“双一流”建设高校全日制硕士研究生及以上学历毕业生（本科须为第二轮“双一流”建设高校全日制毕业生）</w:t>
            </w:r>
            <w:r>
              <w:rPr>
                <w:rFonts w:hint="eastAsia" w:ascii="宋体" w:hAnsi="宋体" w:eastAsia="宋体" w:cs="宋体"/>
                <w:kern w:val="0"/>
                <w:sz w:val="20"/>
                <w:szCs w:val="20"/>
                <w:lang w:eastAsia="zh-CN"/>
              </w:rPr>
              <w:t>；</w:t>
            </w:r>
          </w:p>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3</w:t>
            </w:r>
            <w:r>
              <w:rPr>
                <w:rFonts w:hint="eastAsia" w:ascii="宋体" w:hAnsi="宋体" w:eastAsia="宋体" w:cs="宋体"/>
                <w:kern w:val="0"/>
                <w:sz w:val="20"/>
                <w:szCs w:val="20"/>
              </w:rPr>
              <w:t>.最新世界大学排名榜单（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名国（境）外高校的全日制硕士研究生及以上学历毕业生（本科须为第二轮</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建设高校全日制毕业生）。</w:t>
            </w:r>
          </w:p>
        </w:tc>
        <w:tc>
          <w:tcPr>
            <w:tcW w:w="345"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电子邮箱：tzgxdqzp@126.com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咨询电话：0523-86965195</w:t>
            </w:r>
          </w:p>
        </w:tc>
        <w:tc>
          <w:tcPr>
            <w:tcW w:w="183"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Times New Roman" w:hAnsi="Times New Roman" w:eastAsia="宋体" w:cs="宋体"/>
                <w:kern w:val="0"/>
                <w:sz w:val="20"/>
                <w:szCs w:val="20"/>
              </w:rPr>
              <w:t>2</w:t>
            </w:r>
          </w:p>
        </w:tc>
        <w:tc>
          <w:tcPr>
            <w:tcW w:w="267" w:type="pct"/>
            <w:vMerge w:val="restart"/>
            <w:shd w:val="clear" w:color="auto" w:fill="auto"/>
            <w:tcMar>
              <w:top w:w="28" w:type="dxa"/>
              <w:left w:w="57" w:type="dxa"/>
              <w:bottom w:w="28" w:type="dxa"/>
              <w:right w:w="57" w:type="dxa"/>
            </w:tcMar>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82" w:type="pct"/>
            <w:vMerge w:val="restar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正式聘用人员按照相关政策规定享受“购房券”、生活补贴等待遇</w:t>
            </w:r>
            <w:r>
              <w:rPr>
                <w:rFonts w:hint="eastAsia" w:ascii="宋体" w:hAnsi="宋体" w:eastAsia="宋体" w:cs="宋体"/>
                <w:kern w:val="0"/>
                <w:sz w:val="20"/>
                <w:szCs w:val="2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2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color w:val="000000"/>
                <w:kern w:val="0"/>
                <w:sz w:val="20"/>
                <w:szCs w:val="20"/>
              </w:rPr>
              <w:t>经济类</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（女生）</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val="en-US" w:eastAsia="zh-CN"/>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产业经济学、金融学、经济学、投资学、财政学、应用经济学、区域经济学、商务经济学、统计学、经济统计学、应用统计学、大数据与审计</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rPr>
                <w:rFonts w:hint="eastAsia"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lang w:val="en-US" w:eastAsia="zh-CN" w:bidi="ar-SA"/>
              </w:rPr>
            </w:pPr>
            <w:r>
              <w:rPr>
                <w:rFonts w:hint="eastAsia" w:ascii="宋体" w:hAnsi="宋体" w:eastAsia="宋体" w:cs="宋体"/>
                <w:kern w:val="0"/>
                <w:sz w:val="20"/>
                <w:szCs w:val="20"/>
              </w:rPr>
              <w:t>建筑工程类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4"/>
                <w:szCs w:val="24"/>
                <w:lang w:val="en-US" w:eastAsia="zh-CN" w:bidi="ar-SA"/>
              </w:rPr>
            </w:pPr>
            <w:r>
              <w:rPr>
                <w:rFonts w:ascii="Times New Roman" w:hAnsi="Times New Roman" w:eastAsia="宋体" w:cs="Times New Roman"/>
                <w:color w:val="000000"/>
                <w:kern w:val="0"/>
                <w:sz w:val="24"/>
                <w:szCs w:val="24"/>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lang w:val="en-US" w:eastAsia="zh-CN" w:bidi="ar-SA"/>
              </w:rPr>
            </w:pPr>
            <w:r>
              <w:rPr>
                <w:rFonts w:hint="eastAsia" w:ascii="宋体" w:hAnsi="宋体" w:eastAsia="宋体" w:cs="宋体"/>
                <w:kern w:val="0"/>
                <w:sz w:val="20"/>
                <w:szCs w:val="20"/>
              </w:rPr>
              <w:t>工程造价、工程造价管理</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rPr>
                <w:rFonts w:hint="eastAsia"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9"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安全生产类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val="en-US" w:eastAsia="zh-CN" w:bidi="ar-SA"/>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8</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lang w:val="en-US" w:eastAsia="zh-CN" w:bidi="ar-SA"/>
              </w:rPr>
            </w:pPr>
            <w:r>
              <w:rPr>
                <w:rFonts w:ascii="Times New Roman" w:hAnsi="Times New Roman" w:eastAsia="宋体" w:cs="Times New Roman"/>
                <w:color w:val="000000"/>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消防工程、化学工程与技术、安全技术及工程</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rPr>
                <w:rFonts w:hint="eastAsia"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3"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环境保护类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kern w:val="0"/>
                <w:sz w:val="20"/>
                <w:szCs w:val="20"/>
                <w:lang w:eastAsia="zh-CN"/>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9</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环境保护类</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7"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水利工程类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10</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水文学与水资源</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66" w:hRule="atLeast"/>
          <w:jc w:val="center"/>
        </w:trPr>
        <w:tc>
          <w:tcPr>
            <w:tcW w:w="300"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w:t>
            </w:r>
          </w:p>
        </w:tc>
        <w:tc>
          <w:tcPr>
            <w:tcW w:w="191"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7A</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医药高新区（高港区）人才发展中心</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法律类</w:t>
            </w:r>
          </w:p>
        </w:tc>
        <w:tc>
          <w:tcPr>
            <w:tcW w:w="228" w:type="pct"/>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kern w:val="0"/>
                <w:sz w:val="20"/>
                <w:szCs w:val="20"/>
                <w:lang w:val="en-US" w:eastAsia="zh-CN"/>
              </w:rPr>
            </w:pPr>
            <w:r>
              <w:rPr>
                <w:rFonts w:ascii="Times New Roman" w:hAnsi="Times New Roman" w:eastAsia="宋体" w:cs="Times New Roman"/>
                <w:kern w:val="0"/>
                <w:sz w:val="20"/>
                <w:szCs w:val="20"/>
              </w:rPr>
              <w:t>7A-</w:t>
            </w:r>
            <w:r>
              <w:rPr>
                <w:rFonts w:hint="eastAsia" w:ascii="Times New Roman" w:hAnsi="Times New Roman" w:eastAsia="宋体" w:cs="Times New Roman"/>
                <w:kern w:val="0"/>
                <w:sz w:val="20"/>
                <w:szCs w:val="20"/>
                <w:lang w:val="en-US" w:eastAsia="zh-CN"/>
              </w:rPr>
              <w:t>11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及以上</w:t>
            </w:r>
          </w:p>
        </w:tc>
        <w:tc>
          <w:tcPr>
            <w:tcW w:w="912"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kern w:val="0"/>
                <w:sz w:val="20"/>
                <w:szCs w:val="20"/>
              </w:rPr>
            </w:pPr>
            <w:r>
              <w:rPr>
                <w:rFonts w:hint="eastAsia" w:ascii="宋体" w:hAnsi="宋体" w:eastAsia="宋体" w:cs="宋体"/>
                <w:kern w:val="0"/>
                <w:sz w:val="20"/>
                <w:szCs w:val="20"/>
              </w:rPr>
              <w:t>知识产权、知识产权法、知识产权法学</w:t>
            </w:r>
          </w:p>
        </w:tc>
        <w:tc>
          <w:tcPr>
            <w:tcW w:w="846"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345"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183"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67"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82" w:type="pct"/>
            <w:vMerge w:val="continue"/>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r>
    </w:tbl>
    <w:p/>
    <w:p>
      <w:pPr>
        <w:widowControl/>
        <w:jc w:val="left"/>
      </w:pPr>
      <w:r>
        <w:br w:type="page"/>
      </w:r>
    </w:p>
    <w:p>
      <w:pPr>
        <w:rPr>
          <w:rFonts w:hint="eastAsia" w:ascii="黑体" w:hAnsi="黑体" w:eastAsia="黑体"/>
          <w:sz w:val="30"/>
          <w:szCs w:val="30"/>
        </w:rPr>
      </w:pPr>
    </w:p>
    <w:p>
      <w:pPr>
        <w:jc w:val="center"/>
        <w:rPr>
          <w:rFonts w:hint="eastAsia" w:ascii="方正小标宋_GBK" w:eastAsia="方正小标宋_GBK"/>
          <w:sz w:val="44"/>
          <w:szCs w:val="44"/>
        </w:rPr>
      </w:pPr>
      <w:r>
        <w:rPr>
          <w:rFonts w:hint="eastAsia" w:ascii="Times New Roman" w:hAnsi="Times New Roman" w:eastAsia="方正小标宋_GBK"/>
          <w:sz w:val="44"/>
          <w:szCs w:val="44"/>
        </w:rPr>
        <w:t>2024</w:t>
      </w:r>
      <w:r>
        <w:rPr>
          <w:rFonts w:hint="eastAsia" w:ascii="方正小标宋_GBK" w:eastAsia="方正小标宋_GBK"/>
          <w:sz w:val="44"/>
          <w:szCs w:val="44"/>
        </w:rPr>
        <w:t>年度泰州市青年人才选聘岗位简介表（国企类岗位）</w:t>
      </w:r>
    </w:p>
    <w:tbl>
      <w:tblPr>
        <w:tblStyle w:val="4"/>
        <w:tblW w:w="511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57"/>
        <w:gridCol w:w="991"/>
        <w:gridCol w:w="991"/>
        <w:gridCol w:w="710"/>
        <w:gridCol w:w="567"/>
        <w:gridCol w:w="567"/>
        <w:gridCol w:w="1131"/>
        <w:gridCol w:w="2129"/>
        <w:gridCol w:w="2135"/>
        <w:gridCol w:w="1562"/>
        <w:gridCol w:w="567"/>
        <w:gridCol w:w="855"/>
        <w:gridCol w:w="17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5"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地区</w:t>
            </w:r>
            <w:r>
              <w:rPr>
                <w:rFonts w:ascii="Times New Roman" w:hAnsi="Times New Roman" w:eastAsia="宋体" w:cs="Times New Roman"/>
                <w:b/>
                <w:bCs/>
                <w:color w:val="000000"/>
                <w:kern w:val="0"/>
                <w:sz w:val="20"/>
                <w:szCs w:val="20"/>
              </w:rPr>
              <w:br w:type="textWrapping"/>
            </w:r>
            <w:r>
              <w:rPr>
                <w:rFonts w:hint="eastAsia" w:ascii="宋体" w:hAnsi="宋体" w:eastAsia="宋体" w:cs="宋体"/>
                <w:b/>
                <w:bCs/>
                <w:color w:val="000000"/>
                <w:kern w:val="0"/>
                <w:sz w:val="20"/>
                <w:szCs w:val="20"/>
              </w:rPr>
              <w:t>名称</w:t>
            </w:r>
          </w:p>
        </w:tc>
        <w:tc>
          <w:tcPr>
            <w:tcW w:w="531" w:type="pct"/>
            <w:gridSpan w:val="2"/>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选聘单位</w:t>
            </w:r>
          </w:p>
        </w:tc>
        <w:tc>
          <w:tcPr>
            <w:tcW w:w="319"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类别</w:t>
            </w:r>
          </w:p>
        </w:tc>
        <w:tc>
          <w:tcPr>
            <w:tcW w:w="412" w:type="pct"/>
            <w:gridSpan w:val="2"/>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选聘岗位</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w:t>
            </w:r>
            <w:r>
              <w:rPr>
                <w:rFonts w:ascii="Times New Roman" w:hAnsi="Times New Roman" w:eastAsia="宋体" w:cs="Times New Roman"/>
                <w:b/>
                <w:bCs/>
                <w:color w:val="000000"/>
                <w:kern w:val="0"/>
                <w:sz w:val="20"/>
                <w:szCs w:val="20"/>
              </w:rPr>
              <w:br w:type="textWrapping"/>
            </w:r>
            <w:r>
              <w:rPr>
                <w:rFonts w:ascii="Times New Roman" w:hAnsi="Times New Roman" w:eastAsia="宋体" w:cs="Times New Roman"/>
                <w:b/>
                <w:bCs/>
                <w:color w:val="000000"/>
                <w:kern w:val="0"/>
                <w:sz w:val="20"/>
                <w:szCs w:val="20"/>
              </w:rPr>
              <w:t>人数</w:t>
            </w:r>
          </w:p>
        </w:tc>
        <w:tc>
          <w:tcPr>
            <w:tcW w:w="1741" w:type="pct"/>
            <w:gridSpan w:val="3"/>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选聘条件</w:t>
            </w:r>
          </w:p>
        </w:tc>
        <w:tc>
          <w:tcPr>
            <w:tcW w:w="504"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联系方式</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开考</w:t>
            </w:r>
          </w:p>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比例</w:t>
            </w:r>
          </w:p>
        </w:tc>
        <w:tc>
          <w:tcPr>
            <w:tcW w:w="275" w:type="pct"/>
            <w:vMerge w:val="restar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考试</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形式</w:t>
            </w:r>
          </w:p>
        </w:tc>
        <w:tc>
          <w:tcPr>
            <w:tcW w:w="572"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优惠政策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color w:val="000000"/>
                <w:kern w:val="0"/>
                <w:sz w:val="20"/>
                <w:szCs w:val="20"/>
              </w:rPr>
            </w:pP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hint="eastAsia" w:ascii="宋体" w:hAnsi="宋体" w:eastAsia="宋体" w:cs="Times New Roman"/>
                <w:b/>
                <w:bCs/>
                <w:color w:val="000000"/>
                <w:kern w:val="0"/>
                <w:sz w:val="20"/>
                <w:szCs w:val="20"/>
              </w:rPr>
              <w:t>单位</w:t>
            </w:r>
            <w:r>
              <w:rPr>
                <w:rFonts w:hint="eastAsia" w:ascii="宋体" w:hAnsi="宋体" w:eastAsia="宋体" w:cs="Times New Roman"/>
                <w:b/>
                <w:bCs/>
                <w:color w:val="000000"/>
                <w:kern w:val="0"/>
                <w:sz w:val="20"/>
                <w:szCs w:val="20"/>
              </w:rPr>
              <w:br w:type="textWrapping"/>
            </w:r>
            <w:r>
              <w:rPr>
                <w:rFonts w:hint="eastAsia" w:ascii="宋体" w:hAnsi="宋体" w:eastAsia="宋体" w:cs="Times New Roman"/>
                <w:b/>
                <w:bCs/>
                <w:color w:val="000000"/>
                <w:kern w:val="0"/>
                <w:sz w:val="20"/>
                <w:szCs w:val="20"/>
              </w:rPr>
              <w:t>代码</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单位</w:t>
            </w:r>
          </w:p>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全称</w:t>
            </w:r>
          </w:p>
        </w:tc>
        <w:tc>
          <w:tcPr>
            <w:tcW w:w="31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hint="eastAsia" w:ascii="宋体" w:hAnsi="宋体" w:eastAsia="宋体" w:cs="Times New Roman"/>
                <w:b/>
                <w:bCs/>
                <w:color w:val="000000"/>
                <w:kern w:val="0"/>
                <w:sz w:val="20"/>
                <w:szCs w:val="20"/>
              </w:rPr>
              <w:t>岗位</w:t>
            </w:r>
            <w:r>
              <w:rPr>
                <w:rFonts w:hint="eastAsia" w:ascii="宋体" w:hAnsi="宋体" w:eastAsia="宋体" w:cs="Times New Roman"/>
                <w:b/>
                <w:bCs/>
                <w:color w:val="000000"/>
                <w:kern w:val="0"/>
                <w:sz w:val="20"/>
                <w:szCs w:val="20"/>
              </w:rPr>
              <w:br w:type="textWrapping"/>
            </w:r>
            <w:r>
              <w:rPr>
                <w:rFonts w:hint="eastAsia" w:ascii="宋体" w:hAnsi="宋体" w:eastAsia="宋体" w:cs="Times New Roman"/>
                <w:b/>
                <w:bCs/>
                <w:color w:val="000000"/>
                <w:kern w:val="0"/>
                <w:sz w:val="20"/>
                <w:szCs w:val="20"/>
              </w:rPr>
              <w:t>代码</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岗位</w:t>
            </w:r>
          </w:p>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名称</w:t>
            </w: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b/>
                <w:bCs/>
                <w:color w:val="000000"/>
                <w:kern w:val="0"/>
                <w:sz w:val="20"/>
                <w:szCs w:val="20"/>
              </w:rPr>
            </w:pP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学历</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专业</w:t>
            </w:r>
          </w:p>
        </w:tc>
        <w:tc>
          <w:tcPr>
            <w:tcW w:w="68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其他条件</w:t>
            </w:r>
          </w:p>
        </w:tc>
        <w:tc>
          <w:tcPr>
            <w:tcW w:w="504"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color w:val="000000"/>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b/>
                <w:bCs/>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经济金融投资类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color w:val="000000"/>
                <w:kern w:val="0"/>
                <w:sz w:val="20"/>
                <w:szCs w:val="20"/>
                <w:lang w:val="en-US" w:eastAsia="zh-CN"/>
              </w:rPr>
              <w:t>8</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kern w:val="0"/>
                <w:sz w:val="20"/>
                <w:szCs w:val="20"/>
              </w:rPr>
            </w:pPr>
            <w:r>
              <w:rPr>
                <w:rFonts w:hint="eastAsia" w:ascii="宋体" w:hAnsi="宋体" w:eastAsia="宋体" w:cs="宋体"/>
                <w:kern w:val="0"/>
                <w:sz w:val="20"/>
                <w:szCs w:val="20"/>
              </w:rPr>
              <w:t>经济类、财务财会类、法律类</w:t>
            </w:r>
          </w:p>
        </w:tc>
        <w:tc>
          <w:tcPr>
            <w:tcW w:w="689"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1.研究生毕业院校应具备以下条件之一：</w:t>
            </w:r>
          </w:p>
          <w:p>
            <w:pPr>
              <w:widowControl/>
              <w:spacing w:line="240" w:lineRule="exact"/>
              <w:jc w:val="left"/>
              <w:rPr>
                <w:rFonts w:hint="eastAsia" w:ascii="宋体" w:hAnsi="宋体" w:eastAsia="宋体" w:cs="宋体"/>
                <w:kern w:val="0"/>
                <w:sz w:val="20"/>
                <w:szCs w:val="20"/>
              </w:rPr>
            </w:pPr>
            <w:r>
              <w:rPr>
                <w:rFonts w:hint="default" w:ascii="宋体" w:hAnsi="宋体" w:eastAsia="宋体" w:cs="宋体"/>
                <w:kern w:val="0"/>
                <w:sz w:val="20"/>
                <w:szCs w:val="20"/>
              </w:rPr>
              <w:t>①</w:t>
            </w:r>
            <w:r>
              <w:rPr>
                <w:rFonts w:hint="eastAsia" w:ascii="宋体" w:hAnsi="宋体" w:eastAsia="宋体" w:cs="宋体"/>
                <w:kern w:val="0"/>
                <w:sz w:val="20"/>
                <w:szCs w:val="20"/>
              </w:rPr>
              <w:t>第一轮“一流大学”建设高校</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专业不限一流学科</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②最新世界大学排名榜单（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③第二轮“双一流”建设高校</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专业须为一流学科</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lang w:val="en-US" w:eastAsia="zh-CN"/>
              </w:rPr>
              <w:t>2.本科生毕业院校须为C9重点高校。</w:t>
            </w:r>
            <w:r>
              <w:rPr>
                <w:rFonts w:hint="eastAsia" w:ascii="宋体" w:hAnsi="宋体" w:eastAsia="宋体" w:cs="宋体"/>
                <w:kern w:val="0"/>
                <w:sz w:val="20"/>
                <w:szCs w:val="20"/>
              </w:rPr>
              <w:br w:type="textWrapping"/>
            </w:r>
          </w:p>
        </w:tc>
        <w:tc>
          <w:tcPr>
            <w:tcW w:w="504"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电子邮箱：tzgzwzzrsc@163.com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w:t>
            </w:r>
            <w:r>
              <w:rPr>
                <w:rFonts w:hint="default" w:ascii="Times New Roman" w:hAnsi="Times New Roman" w:eastAsia="宋体" w:cs="Times New Roman"/>
                <w:kern w:val="0"/>
                <w:sz w:val="20"/>
                <w:szCs w:val="20"/>
                <w:lang w:val="en-US" w:eastAsia="zh-CN"/>
              </w:rPr>
              <w:t>-</w:t>
            </w:r>
            <w:r>
              <w:rPr>
                <w:rFonts w:hint="default" w:ascii="Times New Roman" w:hAnsi="Times New Roman" w:eastAsia="宋体" w:cs="Times New Roman"/>
                <w:kern w:val="0"/>
                <w:sz w:val="20"/>
                <w:szCs w:val="20"/>
              </w:rPr>
              <w:t>86192936</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Times New Roman" w:hAnsi="Times New Roman" w:eastAsia="宋体" w:cs="宋体"/>
                <w:kern w:val="0"/>
                <w:sz w:val="20"/>
                <w:szCs w:val="20"/>
              </w:rPr>
              <w:t>2</w:t>
            </w:r>
          </w:p>
        </w:tc>
        <w:tc>
          <w:tcPr>
            <w:tcW w:w="275"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w:t>
            </w:r>
            <w:r>
              <w:rPr>
                <w:rFonts w:ascii="Times New Roman" w:hAnsi="Times New Roman" w:eastAsia="宋体" w:cs="Times New Roman"/>
                <w:kern w:val="0"/>
                <w:sz w:val="20"/>
                <w:szCs w:val="20"/>
              </w:rPr>
              <w:t>+</w:t>
            </w:r>
            <w:r>
              <w:rPr>
                <w:rFonts w:hint="eastAsia" w:ascii="宋体" w:hAnsi="宋体" w:eastAsia="宋体" w:cs="宋体"/>
                <w:kern w:val="0"/>
                <w:sz w:val="20"/>
                <w:szCs w:val="20"/>
              </w:rPr>
              <w:t>无领导小组讨论</w:t>
            </w:r>
          </w:p>
        </w:tc>
        <w:tc>
          <w:tcPr>
            <w:tcW w:w="572" w:type="pct"/>
            <w:vMerge w:val="restar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年为培养锻炼期，培养锻炼期薪酬待遇一般高于</w:t>
            </w:r>
            <w:r>
              <w:rPr>
                <w:rFonts w:hint="eastAsia" w:ascii="宋体" w:hAnsi="宋体" w:eastAsia="宋体" w:cs="宋体"/>
                <w:color w:val="000000"/>
                <w:kern w:val="0"/>
                <w:sz w:val="20"/>
                <w:szCs w:val="20"/>
                <w:lang w:val="en-US" w:eastAsia="zh-CN"/>
              </w:rPr>
              <w:t>市本级</w:t>
            </w:r>
            <w:r>
              <w:rPr>
                <w:rFonts w:hint="eastAsia" w:ascii="宋体" w:hAnsi="宋体" w:eastAsia="宋体" w:cs="宋体"/>
                <w:color w:val="000000"/>
                <w:kern w:val="0"/>
                <w:sz w:val="20"/>
                <w:szCs w:val="20"/>
              </w:rPr>
              <w:t>同</w:t>
            </w:r>
            <w:r>
              <w:rPr>
                <w:rFonts w:hint="eastAsia" w:ascii="宋体" w:hAnsi="宋体" w:eastAsia="宋体" w:cs="宋体"/>
                <w:color w:val="000000"/>
                <w:kern w:val="0"/>
                <w:sz w:val="20"/>
                <w:szCs w:val="20"/>
                <w:lang w:val="en-US" w:eastAsia="zh-CN"/>
              </w:rPr>
              <w:t>类</w:t>
            </w:r>
            <w:r>
              <w:rPr>
                <w:rFonts w:hint="eastAsia" w:ascii="宋体" w:hAnsi="宋体" w:eastAsia="宋体" w:cs="宋体"/>
                <w:color w:val="000000"/>
                <w:kern w:val="0"/>
                <w:sz w:val="20"/>
                <w:szCs w:val="20"/>
              </w:rPr>
              <w:t>事业人员</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，培养锻炼期满后按照聘任岗位领取薪酬。</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.可申请享受企业引进高层次人才相关</w:t>
            </w:r>
            <w:r>
              <w:rPr>
                <w:rFonts w:hint="eastAsia" w:ascii="宋体" w:hAnsi="宋体" w:eastAsia="宋体" w:cs="宋体"/>
                <w:color w:val="000000"/>
                <w:kern w:val="0"/>
                <w:sz w:val="20"/>
                <w:szCs w:val="20"/>
                <w:lang w:val="en-US" w:eastAsia="zh-CN"/>
              </w:rPr>
              <w:t>补贴</w:t>
            </w:r>
            <w:r>
              <w:rPr>
                <w:rFonts w:hint="eastAsia" w:ascii="宋体" w:hAnsi="宋体" w:eastAsia="宋体" w:cs="宋体"/>
                <w:color w:val="000000"/>
                <w:kern w:val="0"/>
                <w:sz w:val="20"/>
                <w:szCs w:val="20"/>
              </w:rPr>
              <w:t>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财务审计类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7</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财务财会类、审计类、经济类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工程管理类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交通工程类、航道港口类、建筑工程类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法律法务类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法律类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信息技术类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计算机类、计算机（软件）类、计算机</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网络管理</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类、电子信息类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行政管理类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中文文秘类、公共管理类、工商管理类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农学类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农业类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泰州市属国有企业</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城乡规划建筑</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1B-8</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轮岗</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2</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Times New Roman"/>
                <w:kern w:val="0"/>
                <w:sz w:val="20"/>
                <w:szCs w:val="20"/>
                <w:lang w:val="en-US" w:eastAsia="zh-CN"/>
              </w:rPr>
              <w:t>硕士研究生及以上或C9本科</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土地管理类、城建规划类、建筑工程类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泰兴市</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交通产业（集团）有限公司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法律类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法务</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numPr>
                <w:ilvl w:val="0"/>
                <w:numId w:val="0"/>
              </w:numPr>
              <w:spacing w:line="22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bidi="ar-SA"/>
              </w:rPr>
              <w:t>法学，律师，民商法，法律，法学（法务金融），法学（法务会计），宪法学与行政法学，民商法学（含：劳动法学、社会保障法学），诉讼法，诉讼法学，经济法学，环境与资源保护法学，法律硕士，法律（法学），法律（非法学），法律硕士（法学），法律硕士（非法学），经济法</w:t>
            </w:r>
          </w:p>
        </w:tc>
        <w:tc>
          <w:tcPr>
            <w:tcW w:w="689"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1.第一轮“一流大学”建设高校全日制本科及以上学历毕业生；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2.第二轮“双一流”建设高校全日制硕士研究生及以上学历毕业生；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3.最新世界大学排名榜单（QS、THE、U.S.NEWS、ARWU、CWUR）前100名国（境）外高校的全日制硕士研究生及以上学历毕业生；</w:t>
            </w:r>
          </w:p>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4.法律类岗位须取得国家法律职业资格证书（A类）。</w:t>
            </w:r>
            <w:r>
              <w:rPr>
                <w:rFonts w:ascii="Times New Roman" w:hAnsi="Times New Roman" w:eastAsia="宋体" w:cs="Times New Roman"/>
                <w:kern w:val="0"/>
                <w:sz w:val="20"/>
                <w:szCs w:val="20"/>
              </w:rPr>
              <w:t>　</w:t>
            </w:r>
          </w:p>
        </w:tc>
        <w:tc>
          <w:tcPr>
            <w:tcW w:w="504"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t>电子邮箱：txzzbghb@126.com</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5"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综评</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面试</w:t>
            </w:r>
          </w:p>
        </w:tc>
        <w:tc>
          <w:tcPr>
            <w:tcW w:w="572" w:type="pct"/>
            <w:vMerge w:val="restart"/>
            <w:shd w:val="clear" w:color="auto" w:fill="auto"/>
            <w:tcMar>
              <w:top w:w="28" w:type="dxa"/>
              <w:left w:w="57" w:type="dxa"/>
              <w:bottom w:w="28" w:type="dxa"/>
              <w:right w:w="57" w:type="dxa"/>
            </w:tcMar>
            <w:vAlign w:val="center"/>
          </w:tcPr>
          <w:p>
            <w:pPr>
              <w:widowControl/>
              <w:numPr>
                <w:ilvl w:val="0"/>
                <w:numId w:val="0"/>
              </w:numPr>
              <w:spacing w:line="240" w:lineRule="exact"/>
              <w:rPr>
                <w:rFonts w:hint="eastAsia"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1.免费居住人才公寓（或给予租房补贴）3年；</w:t>
            </w:r>
          </w:p>
          <w:p>
            <w:pPr>
              <w:widowControl/>
              <w:numPr>
                <w:ilvl w:val="0"/>
                <w:numId w:val="0"/>
              </w:numPr>
              <w:spacing w:line="240" w:lineRule="exac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lang w:val="en-US" w:eastAsia="zh-CN" w:bidi="ar-SA"/>
              </w:rPr>
              <w:t>2.享受“购房券”待遇（博士研究生25万元；本科段学历为“双一流”高校的硕士研究生15万元；本科段学历为普通高校的硕士研究生11万元；“双一流”高校本科毕业生8万元）。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泰兴市</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中兴国有资产经营投资集团有限公司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计算机（软件）类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数据运维</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keepNext w:val="0"/>
              <w:keepLines w:val="0"/>
              <w:pageBreakBefore w:val="0"/>
              <w:widowControl/>
              <w:kinsoku/>
              <w:wordWrap/>
              <w:overflowPunct/>
              <w:topLinePunct w:val="0"/>
              <w:autoSpaceDE/>
              <w:autoSpaceDN/>
              <w:bidi w:val="0"/>
              <w:adjustRightInd/>
              <w:snapToGrid/>
              <w:spacing w:line="230" w:lineRule="exact"/>
              <w:textAlignment w:val="auto"/>
              <w:rPr>
                <w:rFonts w:ascii="宋体" w:hAnsi="宋体" w:eastAsia="宋体" w:cs="宋体"/>
                <w:color w:val="000000"/>
                <w:spacing w:val="-4"/>
                <w:kern w:val="0"/>
                <w:sz w:val="20"/>
                <w:szCs w:val="20"/>
              </w:rPr>
            </w:pPr>
            <w:r>
              <w:rPr>
                <w:rFonts w:hint="eastAsia" w:ascii="Times New Roman" w:hAnsi="Times New Roman" w:eastAsia="宋体" w:cs="宋体"/>
                <w:color w:val="000000"/>
                <w:spacing w:val="-11"/>
                <w:kern w:val="0"/>
                <w:sz w:val="20"/>
                <w:szCs w:val="20"/>
              </w:rPr>
              <w:t>计算机软件与理论，软件工程，计算机科学与技术，模式识别与智能系统，计算机应用技术，计算机系统结构</w:t>
            </w:r>
            <w:r>
              <w:rPr>
                <w:rFonts w:hint="eastAsia" w:ascii="Times New Roman" w:hAnsi="Times New Roman" w:eastAsia="宋体" w:cs="宋体"/>
                <w:color w:val="000000"/>
                <w:spacing w:val="-11"/>
                <w:kern w:val="0"/>
                <w:sz w:val="20"/>
                <w:szCs w:val="20"/>
                <w:lang w:eastAsia="zh-CN"/>
              </w:rPr>
              <w:t>，</w:t>
            </w:r>
            <w:r>
              <w:rPr>
                <w:rFonts w:hint="eastAsia" w:ascii="Times New Roman" w:hAnsi="Times New Roman" w:eastAsia="宋体" w:cs="宋体"/>
                <w:color w:val="000000"/>
                <w:spacing w:val="-11"/>
                <w:kern w:val="0"/>
                <w:sz w:val="20"/>
                <w:szCs w:val="20"/>
              </w:rPr>
              <w:t>计算机软件，计算机应用软件，信息与计算科学，信息管理与信息系统，数字媒体技术，信息技术应用与管理，软件工程技术，信息工程</w:t>
            </w:r>
          </w:p>
        </w:tc>
        <w:tc>
          <w:tcPr>
            <w:tcW w:w="689"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04"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5"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7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2"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泰兴市</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工程集中建设项目管理有限公司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建筑工程类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工程管理</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numPr>
                <w:ilvl w:val="0"/>
                <w:numId w:val="0"/>
              </w:numPr>
              <w:spacing w:line="220" w:lineRule="exact"/>
              <w:rPr>
                <w:rFonts w:ascii="宋体" w:hAnsi="宋体" w:eastAsia="宋体" w:cs="宋体"/>
                <w:color w:val="000000"/>
                <w:kern w:val="0"/>
                <w:sz w:val="20"/>
                <w:szCs w:val="20"/>
              </w:rPr>
            </w:pPr>
            <w:r>
              <w:rPr>
                <w:rFonts w:hint="eastAsia" w:ascii="宋体" w:hAnsi="宋体" w:eastAsia="宋体" w:cs="宋体"/>
                <w:color w:val="000000"/>
                <w:spacing w:val="-6"/>
                <w:kern w:val="0"/>
                <w:sz w:val="20"/>
                <w:szCs w:val="20"/>
                <w:lang w:val="en-US" w:eastAsia="zh-CN" w:bidi="ar-SA"/>
              </w:rPr>
              <w:t>建筑学，建筑工程，土木工程，建筑环境与设备工程，给水排水工程，城市规划，水务工程，建筑设施智能技术，给排水科学与工程，建筑电气与智能化，道路桥梁与渡河工程，工程结构分析，建筑环境与能源应用工程，质量管理工程，工业与民用建筑，给水排水，给排水工程，工程管理，工程造价，工程造价管理，消防工程，城乡规划，水利水电工程，水利工程，智能建造工程，城市地下工程，建筑智能检测与修复，建筑环境与能源工程，建筑电气与智能化工程，建设工程管理，市政工程，城市设施智慧管理，人文地理与城乡规划，城乡规划学，城市规划与设计（含：风景园林规划与设计），建筑技术科学，岩土工程，结构工程，工程力学，防灾减灾工程及防护工程，桥梁与隧道工程，建筑与土木工程，土木水利，道路与铁道工程，水工结构工程</w:t>
            </w:r>
          </w:p>
        </w:tc>
        <w:tc>
          <w:tcPr>
            <w:tcW w:w="689"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1.第一轮“一流大学”建设高校全日制本科及以上学历毕业生；</w:t>
            </w:r>
          </w:p>
          <w:p>
            <w:pPr>
              <w:widowControl/>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2.第二轮“双一流”建设高校全日制硕士研究生及以上学历毕业生；</w:t>
            </w:r>
          </w:p>
          <w:p>
            <w:pPr>
              <w:widowControl/>
              <w:spacing w:line="240" w:lineRule="exact"/>
              <w:jc w:val="both"/>
              <w:rPr>
                <w:rFonts w:hint="eastAsia" w:ascii="宋体" w:hAnsi="宋体" w:eastAsia="宋体" w:cs="宋体"/>
                <w:kern w:val="0"/>
                <w:sz w:val="20"/>
                <w:szCs w:val="20"/>
              </w:rPr>
            </w:pPr>
            <w:r>
              <w:rPr>
                <w:rFonts w:hint="eastAsia" w:ascii="宋体" w:hAnsi="宋体" w:eastAsia="宋体" w:cs="宋体"/>
                <w:kern w:val="0"/>
                <w:sz w:val="20"/>
                <w:szCs w:val="20"/>
              </w:rPr>
              <w:t>3.最新世界大学排名榜单（QS、THE、U.S.NEWS、ARWU、CWUR）前100名国（境）外高校的全日制硕士研究生及以上学历毕业生；</w:t>
            </w:r>
          </w:p>
          <w:p>
            <w:pPr>
              <w:widowControl/>
              <w:spacing w:line="240" w:lineRule="exact"/>
              <w:jc w:val="both"/>
              <w:rPr>
                <w:rFonts w:ascii="宋体" w:hAnsi="宋体" w:eastAsia="宋体" w:cs="宋体"/>
                <w:kern w:val="0"/>
                <w:sz w:val="20"/>
                <w:szCs w:val="20"/>
              </w:rPr>
            </w:pPr>
            <w:r>
              <w:rPr>
                <w:rFonts w:hint="eastAsia" w:ascii="宋体" w:hAnsi="宋体" w:eastAsia="宋体" w:cs="宋体"/>
                <w:kern w:val="0"/>
                <w:sz w:val="20"/>
                <w:szCs w:val="20"/>
              </w:rPr>
              <w:t>4.适合男性。</w:t>
            </w:r>
          </w:p>
        </w:tc>
        <w:tc>
          <w:tcPr>
            <w:tcW w:w="504" w:type="pc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t>电子邮箱：txzzbghb@126.com</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综评</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面试</w:t>
            </w:r>
          </w:p>
        </w:tc>
        <w:tc>
          <w:tcPr>
            <w:tcW w:w="572" w:type="pct"/>
            <w:shd w:val="clear" w:color="auto" w:fill="auto"/>
            <w:tcMar>
              <w:top w:w="28" w:type="dxa"/>
              <w:left w:w="57" w:type="dxa"/>
              <w:bottom w:w="28" w:type="dxa"/>
              <w:right w:w="57" w:type="dxa"/>
            </w:tcMar>
            <w:vAlign w:val="center"/>
          </w:tcPr>
          <w:p>
            <w:pPr>
              <w:widowControl/>
              <w:numPr>
                <w:ilvl w:val="0"/>
                <w:numId w:val="0"/>
              </w:numPr>
              <w:spacing w:line="240" w:lineRule="exact"/>
              <w:rPr>
                <w:rFonts w:hint="eastAsia"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1.免费居住人才公寓（或给予租房补贴）3年；</w:t>
            </w:r>
          </w:p>
          <w:p>
            <w:pPr>
              <w:widowControl/>
              <w:numPr>
                <w:ilvl w:val="0"/>
                <w:numId w:val="0"/>
              </w:numPr>
              <w:spacing w:line="240" w:lineRule="exac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lang w:val="en-US" w:eastAsia="zh-CN" w:bidi="ar-SA"/>
              </w:rPr>
              <w:t>2.享受“购房券”待遇（博士研究生25万元；本科段学历为“双一流”高校的硕士研究生15万元；本科段学历为普通高校的硕士研究生11万元；“双一流”高校本科毕业生8万元）。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5"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泰兴市</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中鑫投资集团有限公司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法律类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2B-4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法务</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法学，律师，民商法，法律，法学（法务金融），法学（法务会计），宪法学与行政法学，民商法学（含：劳动法学、社会保障法学），诉讼法，诉讼法学，经济法学，环境与资源保护法学，法律硕士，法律（法学），法律（非法学），法律硕士（法学），法律硕士（非法学），经济法</w:t>
            </w:r>
          </w:p>
        </w:tc>
        <w:tc>
          <w:tcPr>
            <w:tcW w:w="689" w:type="pct"/>
            <w:shd w:val="clear" w:color="auto" w:fill="auto"/>
            <w:tcMar>
              <w:top w:w="28" w:type="dxa"/>
              <w:left w:w="57" w:type="dxa"/>
              <w:bottom w:w="28" w:type="dxa"/>
              <w:right w:w="57" w:type="dxa"/>
            </w:tcMar>
            <w:vAlign w:val="center"/>
          </w:tcPr>
          <w:p>
            <w:pPr>
              <w:widowControl/>
              <w:spacing w:line="240" w:lineRule="exact"/>
              <w:jc w:val="both"/>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1.第一轮“一流大学”建设高校全日制本科及以上学历毕业生；</w:t>
            </w:r>
          </w:p>
          <w:p>
            <w:pPr>
              <w:widowControl/>
              <w:spacing w:line="240" w:lineRule="exact"/>
              <w:jc w:val="both"/>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2.第二轮“双一流”建设高校全日制硕士研究生及以上学历毕业生；</w:t>
            </w:r>
          </w:p>
          <w:p>
            <w:pPr>
              <w:widowControl/>
              <w:spacing w:line="240" w:lineRule="exact"/>
              <w:jc w:val="both"/>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3.最新世界大学排名榜单（QS、THE、U.S.NEWS、ARWU、CWUR）前100名国（境）外高校的全日制硕士研究生及以上学历毕业生；</w:t>
            </w:r>
          </w:p>
          <w:p>
            <w:pPr>
              <w:widowControl/>
              <w:spacing w:line="240" w:lineRule="exact"/>
              <w:jc w:val="both"/>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4.须取得国家法律职业资格证书（A类）。</w:t>
            </w:r>
          </w:p>
        </w:tc>
        <w:tc>
          <w:tcPr>
            <w:tcW w:w="504" w:type="pc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t>电子邮箱：txzzbghb@126.com</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综评</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面试</w:t>
            </w:r>
          </w:p>
        </w:tc>
        <w:tc>
          <w:tcPr>
            <w:tcW w:w="572" w:type="pct"/>
            <w:shd w:val="clear" w:color="auto" w:fill="auto"/>
            <w:tcMar>
              <w:top w:w="28" w:type="dxa"/>
              <w:left w:w="57" w:type="dxa"/>
              <w:bottom w:w="28" w:type="dxa"/>
              <w:right w:w="57" w:type="dxa"/>
            </w:tcMar>
            <w:vAlign w:val="center"/>
          </w:tcPr>
          <w:p>
            <w:pPr>
              <w:widowControl/>
              <w:numPr>
                <w:ilvl w:val="0"/>
                <w:numId w:val="0"/>
              </w:numPr>
              <w:spacing w:line="240" w:lineRule="exact"/>
              <w:rPr>
                <w:rFonts w:hint="eastAsia" w:ascii="宋体" w:hAnsi="宋体" w:eastAsia="宋体" w:cs="Times New Roman"/>
                <w:color w:val="000000"/>
                <w:kern w:val="0"/>
                <w:sz w:val="20"/>
                <w:szCs w:val="20"/>
                <w:lang w:val="en-US" w:eastAsia="zh-CN" w:bidi="ar-SA"/>
              </w:rPr>
            </w:pPr>
            <w:r>
              <w:rPr>
                <w:rFonts w:hint="eastAsia" w:ascii="宋体" w:hAnsi="宋体" w:eastAsia="宋体" w:cs="Times New Roman"/>
                <w:color w:val="000000"/>
                <w:kern w:val="0"/>
                <w:sz w:val="20"/>
                <w:szCs w:val="20"/>
                <w:lang w:val="en-US" w:eastAsia="zh-CN" w:bidi="ar-SA"/>
              </w:rPr>
              <w:t>1.免费居住人才公寓（或给予租房补贴）3年；</w:t>
            </w:r>
          </w:p>
          <w:p>
            <w:pPr>
              <w:widowControl/>
              <w:numPr>
                <w:ilvl w:val="0"/>
                <w:numId w:val="0"/>
              </w:numPr>
              <w:spacing w:line="240" w:lineRule="exac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lang w:val="en-US" w:eastAsia="zh-CN" w:bidi="ar-SA"/>
              </w:rPr>
              <w:t>2.享受“购房券”待遇（博士研究生25万元；本科段学历为“双一流”高校的硕士研究生15万元；本科段学历为普通高校的硕士研究生11万元；“双一流”高校本科毕业生8万元）。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2"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兴化市属国有企业岗位</w:t>
            </w:r>
            <w:r>
              <w:rPr>
                <w:rFonts w:ascii="Times New Roman" w:hAnsi="Times New Roman" w:eastAsia="宋体" w:cs="Times New Roman"/>
                <w:color w:val="000000"/>
                <w:kern w:val="0"/>
                <w:sz w:val="20"/>
                <w:szCs w:val="20"/>
              </w:rPr>
              <w:t>1</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1</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工作人员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应用经济学，数量经济学，产业经济学，经济学，国际经济与贸易，财政学（含税收学），金融学（含保险学），贸易经济，金融工程，税务，信用管理，投资学，会展经济与管理，经济统计学，商务经济学，能源经济，金融数学，经济与金融，资产评估，金融管理，国际贸易，金融，工程造价，财务管理，应用统计，应用统计学，互联网金融，金融科技应用，大数据与财务管理，大数据与审计，金融科技，审计，会计与金融，数字经济</w:t>
            </w:r>
          </w:p>
        </w:tc>
        <w:tc>
          <w:tcPr>
            <w:tcW w:w="689" w:type="pct"/>
            <w:shd w:val="clear" w:color="auto" w:fill="auto"/>
            <w:tcMar>
              <w:top w:w="28" w:type="dxa"/>
              <w:left w:w="57" w:type="dxa"/>
              <w:bottom w:w="28" w:type="dxa"/>
              <w:right w:w="57" w:type="dxa"/>
            </w:tcMar>
            <w:vAlign w:val="center"/>
          </w:tcPr>
          <w:p>
            <w:pPr>
              <w:widowControl/>
              <w:numPr>
                <w:ilvl w:val="0"/>
                <w:numId w:val="0"/>
              </w:numPr>
              <w:spacing w:line="240" w:lineRule="exact"/>
              <w:jc w:val="both"/>
              <w:rPr>
                <w:rFonts w:hint="eastAsia" w:ascii="宋体" w:hAnsi="宋体" w:eastAsia="宋体" w:cs="Times New Roman"/>
                <w:kern w:val="0"/>
                <w:sz w:val="20"/>
                <w:szCs w:val="20"/>
                <w:lang w:val="en-US" w:eastAsia="zh-CN" w:bidi="ar-SA"/>
              </w:rPr>
            </w:pPr>
            <w:r>
              <w:rPr>
                <w:rFonts w:hint="eastAsia" w:ascii="宋体" w:hAnsi="宋体" w:eastAsia="宋体" w:cs="Times New Roman"/>
                <w:kern w:val="0"/>
                <w:sz w:val="20"/>
                <w:szCs w:val="20"/>
                <w:lang w:val="en-US" w:eastAsia="zh-CN" w:bidi="ar-SA"/>
              </w:rPr>
              <w:t>1.应具备以下条件之一：</w:t>
            </w:r>
          </w:p>
          <w:p>
            <w:pPr>
              <w:widowControl/>
              <w:numPr>
                <w:ilvl w:val="0"/>
                <w:numId w:val="0"/>
              </w:numPr>
              <w:spacing w:line="240" w:lineRule="exact"/>
              <w:jc w:val="both"/>
              <w:rPr>
                <w:rFonts w:hint="eastAsia" w:ascii="宋体" w:hAnsi="宋体" w:eastAsia="宋体" w:cs="Times New Roman"/>
                <w:kern w:val="0"/>
                <w:sz w:val="20"/>
                <w:szCs w:val="20"/>
                <w:lang w:val="en-US" w:eastAsia="zh-CN" w:bidi="ar-SA"/>
              </w:rPr>
            </w:pPr>
            <w:r>
              <w:rPr>
                <w:rFonts w:hint="eastAsia" w:ascii="宋体" w:hAnsi="宋体" w:eastAsia="宋体" w:cs="Times New Roman"/>
                <w:kern w:val="0"/>
                <w:sz w:val="20"/>
                <w:szCs w:val="20"/>
                <w:lang w:val="en-US" w:eastAsia="zh-CN" w:bidi="ar-SA"/>
              </w:rPr>
              <w:t>①第二轮“双一流”建设高校全日制本科毕业生；</w:t>
            </w:r>
          </w:p>
          <w:p>
            <w:pPr>
              <w:widowControl/>
              <w:numPr>
                <w:ilvl w:val="0"/>
                <w:numId w:val="0"/>
              </w:numPr>
              <w:spacing w:line="240" w:lineRule="exact"/>
              <w:jc w:val="both"/>
              <w:rPr>
                <w:rFonts w:hint="eastAsia" w:ascii="宋体" w:hAnsi="宋体" w:eastAsia="宋体" w:cs="Times New Roman"/>
                <w:kern w:val="0"/>
                <w:sz w:val="20"/>
                <w:szCs w:val="20"/>
                <w:lang w:val="en-US" w:eastAsia="zh-CN" w:bidi="ar-SA"/>
              </w:rPr>
            </w:pPr>
            <w:r>
              <w:rPr>
                <w:rFonts w:hint="eastAsia" w:ascii="宋体" w:hAnsi="宋体" w:eastAsia="宋体" w:cs="Times New Roman"/>
                <w:kern w:val="0"/>
                <w:sz w:val="20"/>
                <w:szCs w:val="20"/>
                <w:lang w:val="en-US" w:eastAsia="zh-CN" w:bidi="ar-SA"/>
              </w:rPr>
              <w:t>②国内高校全日制硕士研究生及以上学历毕业生；</w:t>
            </w:r>
          </w:p>
          <w:p>
            <w:pPr>
              <w:widowControl/>
              <w:numPr>
                <w:ilvl w:val="0"/>
                <w:numId w:val="0"/>
              </w:numPr>
              <w:spacing w:line="240" w:lineRule="exact"/>
              <w:jc w:val="both"/>
              <w:rPr>
                <w:rFonts w:hint="eastAsia" w:ascii="宋体" w:hAnsi="宋体" w:eastAsia="宋体" w:cs="Times New Roman"/>
                <w:kern w:val="0"/>
                <w:sz w:val="20"/>
                <w:szCs w:val="20"/>
                <w:lang w:val="en-US" w:eastAsia="zh-CN" w:bidi="ar-SA"/>
              </w:rPr>
            </w:pPr>
            <w:r>
              <w:rPr>
                <w:rFonts w:hint="eastAsia" w:ascii="宋体" w:hAnsi="宋体" w:eastAsia="宋体" w:cs="Times New Roman"/>
                <w:kern w:val="0"/>
                <w:sz w:val="20"/>
                <w:szCs w:val="20"/>
                <w:lang w:val="en-US" w:eastAsia="zh-CN" w:bidi="ar-SA"/>
              </w:rPr>
              <w:t>③最新世界大学排名榜单（QS、THE、U.S.News、ARWU、CWUR）前100名国（境）外高校的全日制硕士研究生及以上学历毕业生（本科须为国内高校全日制毕业生）。</w:t>
            </w:r>
          </w:p>
          <w:p>
            <w:pPr>
              <w:widowControl/>
              <w:numPr>
                <w:ilvl w:val="0"/>
                <w:numId w:val="0"/>
              </w:numPr>
              <w:spacing w:line="240" w:lineRule="exact"/>
              <w:jc w:val="both"/>
              <w:rPr>
                <w:rFonts w:ascii="Times New Roman" w:hAnsi="Times New Roman" w:eastAsia="宋体" w:cs="Times New Roman"/>
                <w:kern w:val="0"/>
                <w:sz w:val="20"/>
                <w:szCs w:val="20"/>
              </w:rPr>
            </w:pPr>
            <w:r>
              <w:rPr>
                <w:rFonts w:hint="eastAsia" w:ascii="宋体" w:hAnsi="宋体" w:eastAsia="宋体" w:cs="Times New Roman"/>
                <w:kern w:val="0"/>
                <w:sz w:val="20"/>
                <w:szCs w:val="20"/>
                <w:lang w:val="en-US" w:eastAsia="zh-CN" w:bidi="ar-SA"/>
              </w:rPr>
              <w:t>2.拥有相关行业工作经验，持有专业资格证书者优先。</w:t>
            </w:r>
          </w:p>
        </w:tc>
        <w:tc>
          <w:tcPr>
            <w:tcW w:w="504" w:type="pc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t>电子邮箱：</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"mailto:xhqnrccbzx@126.com"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xhqnrccbzx@126.com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咨询电话：0523-83326196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面谈</w:t>
            </w:r>
          </w:p>
        </w:tc>
        <w:tc>
          <w:tcPr>
            <w:tcW w:w="572" w:type="pct"/>
            <w:shd w:val="clear" w:color="auto" w:fill="auto"/>
            <w:tcMar>
              <w:top w:w="28" w:type="dxa"/>
              <w:left w:w="57" w:type="dxa"/>
              <w:bottom w:w="28" w:type="dxa"/>
              <w:right w:w="57" w:type="dxa"/>
            </w:tcMar>
            <w:vAlign w:val="center"/>
          </w:tcPr>
          <w:p>
            <w:pPr>
              <w:widowControl/>
              <w:numPr>
                <w:ilvl w:val="0"/>
                <w:numId w:val="0"/>
              </w:numPr>
              <w:spacing w:line="240" w:lineRule="exact"/>
              <w:jc w:val="left"/>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lang w:val="en-US" w:eastAsia="zh-CN"/>
              </w:rPr>
              <w:t>1.</w:t>
            </w:r>
            <w:r>
              <w:rPr>
                <w:rFonts w:hint="eastAsia" w:ascii="宋体" w:hAnsi="宋体" w:eastAsia="宋体" w:cs="Times New Roman"/>
                <w:color w:val="000000"/>
                <w:kern w:val="0"/>
                <w:sz w:val="20"/>
                <w:szCs w:val="20"/>
              </w:rPr>
              <w:t>工作前</w:t>
            </w:r>
            <w:r>
              <w:rPr>
                <w:rFonts w:ascii="Times New Roman" w:hAnsi="Times New Roman" w:eastAsia="宋体" w:cs="Times New Roman"/>
                <w:color w:val="000000"/>
                <w:kern w:val="0"/>
                <w:sz w:val="20"/>
                <w:szCs w:val="20"/>
              </w:rPr>
              <w:t>5</w:t>
            </w:r>
            <w:r>
              <w:rPr>
                <w:rFonts w:hint="eastAsia" w:ascii="宋体" w:hAnsi="宋体" w:eastAsia="宋体" w:cs="Times New Roman"/>
                <w:color w:val="000000"/>
                <w:kern w:val="0"/>
                <w:sz w:val="20"/>
                <w:szCs w:val="20"/>
              </w:rPr>
              <w:t>年薪酬待遇</w:t>
            </w:r>
            <w:r>
              <w:rPr>
                <w:rFonts w:hint="eastAsia" w:ascii="宋体" w:hAnsi="宋体" w:eastAsia="宋体" w:cs="Times New Roman"/>
                <w:color w:val="000000"/>
                <w:kern w:val="0"/>
                <w:sz w:val="20"/>
                <w:szCs w:val="20"/>
                <w:lang w:val="en-US" w:eastAsia="zh-CN"/>
              </w:rPr>
              <w:t>不低于</w:t>
            </w:r>
            <w:r>
              <w:rPr>
                <w:rFonts w:hint="eastAsia" w:ascii="宋体" w:hAnsi="宋体" w:eastAsia="宋体" w:cs="Times New Roman"/>
                <w:color w:val="000000"/>
                <w:kern w:val="0"/>
                <w:sz w:val="20"/>
                <w:szCs w:val="20"/>
              </w:rPr>
              <w:t>同</w:t>
            </w:r>
            <w:r>
              <w:rPr>
                <w:rFonts w:hint="eastAsia" w:ascii="宋体" w:hAnsi="宋体" w:eastAsia="宋体" w:cs="Times New Roman"/>
                <w:color w:val="000000"/>
                <w:kern w:val="0"/>
                <w:sz w:val="20"/>
                <w:szCs w:val="20"/>
                <w:lang w:val="en-US" w:eastAsia="zh-CN"/>
              </w:rPr>
              <w:t>类</w:t>
            </w:r>
            <w:r>
              <w:rPr>
                <w:rFonts w:hint="eastAsia" w:ascii="宋体" w:hAnsi="宋体" w:eastAsia="宋体" w:cs="Times New Roman"/>
                <w:color w:val="000000"/>
                <w:kern w:val="0"/>
                <w:sz w:val="20"/>
                <w:szCs w:val="20"/>
              </w:rPr>
              <w:t>全额事业编制人员；</w:t>
            </w:r>
          </w:p>
          <w:p>
            <w:pPr>
              <w:widowControl/>
              <w:numPr>
                <w:ilvl w:val="0"/>
                <w:numId w:val="0"/>
              </w:numPr>
              <w:spacing w:line="240" w:lineRule="exact"/>
              <w:jc w:val="left"/>
              <w:rPr>
                <w:rFonts w:hint="eastAsia" w:ascii="宋体" w:hAnsi="宋体" w:eastAsia="宋体" w:cs="Times New Roman"/>
                <w:color w:val="000000"/>
                <w:kern w:val="0"/>
                <w:sz w:val="20"/>
                <w:szCs w:val="20"/>
              </w:rPr>
            </w:pPr>
            <w:r>
              <w:rPr>
                <w:rFonts w:ascii="Times New Roman" w:hAnsi="Times New Roman" w:eastAsia="宋体" w:cs="Times New Roman"/>
                <w:color w:val="000000"/>
                <w:kern w:val="0"/>
                <w:sz w:val="20"/>
                <w:szCs w:val="20"/>
              </w:rPr>
              <w:br w:type="page"/>
            </w:r>
            <w:r>
              <w:rPr>
                <w:rFonts w:ascii="Times New Roman" w:hAnsi="Times New Roman" w:eastAsia="宋体" w:cs="Times New Roman"/>
                <w:color w:val="000000"/>
                <w:kern w:val="0"/>
                <w:sz w:val="20"/>
                <w:szCs w:val="20"/>
              </w:rPr>
              <w:t>2.5</w:t>
            </w:r>
            <w:r>
              <w:rPr>
                <w:rFonts w:hint="eastAsia" w:ascii="宋体" w:hAnsi="宋体" w:eastAsia="宋体" w:cs="Times New Roman"/>
                <w:color w:val="000000"/>
                <w:kern w:val="0"/>
                <w:sz w:val="20"/>
                <w:szCs w:val="20"/>
              </w:rPr>
              <w:t>年内享受兴化市企业引进高层次人才有关待遇；</w:t>
            </w:r>
          </w:p>
          <w:p>
            <w:pPr>
              <w:widowControl/>
              <w:numPr>
                <w:ilvl w:val="0"/>
                <w:numId w:val="0"/>
              </w:numPr>
              <w:spacing w:line="240" w:lineRule="exac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page"/>
            </w:r>
            <w:r>
              <w:rPr>
                <w:rFonts w:ascii="Times New Roman" w:hAnsi="Times New Roman" w:eastAsia="宋体" w:cs="Times New Roman"/>
                <w:color w:val="000000"/>
                <w:kern w:val="0"/>
                <w:sz w:val="20"/>
                <w:szCs w:val="20"/>
              </w:rPr>
              <w:t>3.</w:t>
            </w:r>
            <w:r>
              <w:rPr>
                <w:rFonts w:hint="eastAsia" w:ascii="宋体" w:hAnsi="宋体" w:eastAsia="宋体" w:cs="Times New Roman"/>
                <w:color w:val="000000"/>
                <w:kern w:val="0"/>
                <w:sz w:val="20"/>
                <w:szCs w:val="20"/>
              </w:rPr>
              <w:t>由兴化市委组织部跟踪管理，纳入优秀年轻干部库重点培养。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7"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兴化市属国有企业岗位</w:t>
            </w:r>
            <w:r>
              <w:rPr>
                <w:rFonts w:ascii="Times New Roman" w:hAnsi="Times New Roman" w:eastAsia="宋体" w:cs="Times New Roman"/>
                <w:color w:val="000000"/>
                <w:kern w:val="0"/>
                <w:sz w:val="20"/>
                <w:szCs w:val="20"/>
              </w:rPr>
              <w:t>2</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2</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工作人员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地下空间工程，历史建筑保护工程，土木工程，给排水科学与工程，道路桥梁与渡河工程，房地产开发与管理，水利水电工程，水利工程，交通工程，园林景观工程，城市地下工程，市政工程，给水排水工程，水务工程，房地产经营管理，建筑工程，建筑环境与设备工程，工业与民用建筑，给水排水，给排水工程，工民建，工程管理，工程造价，工程造价管理，建筑装饰工程，古建筑工程，建设工程管理，建筑与土木工程，土木水利，道路与铁道工程，水工结构工程，结构工程，建筑技术科学，岩土工程，项目管理</w:t>
            </w:r>
          </w:p>
        </w:tc>
        <w:tc>
          <w:tcPr>
            <w:tcW w:w="689"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1.应具备以下条件之一：</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①第二轮“双一流”建设高校全日制本科毕业生；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②国内高校全日制硕士研究生及以上学历毕业生；</w:t>
            </w:r>
          </w:p>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③最新世界大学排名榜单（QS、THE、U.S.News、ARWU、CWUR）前100名国（境）外高校的全日制硕士研究生及以上学历毕业生（本科须为国内高校全日制毕业生）。</w:t>
            </w:r>
          </w:p>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2.拥有相关行业工作经验，持有专业资格证书者优先。</w:t>
            </w:r>
          </w:p>
        </w:tc>
        <w:tc>
          <w:tcPr>
            <w:tcW w:w="504"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t>电子邮箱：</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"mailto:xhqnrccbzx@126.com"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xhqnrccbzx@126.com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咨询电话：0523-83326196</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75"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结构化面试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面谈</w:t>
            </w:r>
          </w:p>
        </w:tc>
        <w:tc>
          <w:tcPr>
            <w:tcW w:w="572" w:type="pct"/>
            <w:vMerge w:val="restart"/>
            <w:shd w:val="clear" w:color="auto" w:fill="auto"/>
            <w:tcMar>
              <w:top w:w="28" w:type="dxa"/>
              <w:left w:w="57" w:type="dxa"/>
              <w:bottom w:w="28" w:type="dxa"/>
              <w:right w:w="57" w:type="dxa"/>
            </w:tcMar>
            <w:vAlign w:val="center"/>
          </w:tcPr>
          <w:p>
            <w:pPr>
              <w:widowControl/>
              <w:numPr>
                <w:ilvl w:val="0"/>
                <w:numId w:val="0"/>
              </w:numPr>
              <w:spacing w:line="240" w:lineRule="exact"/>
              <w:jc w:val="left"/>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lang w:val="en-US" w:eastAsia="zh-CN"/>
              </w:rPr>
              <w:t>1.</w:t>
            </w:r>
            <w:r>
              <w:rPr>
                <w:rFonts w:hint="eastAsia" w:ascii="宋体" w:hAnsi="宋体" w:eastAsia="宋体" w:cs="Times New Roman"/>
                <w:color w:val="000000"/>
                <w:kern w:val="0"/>
                <w:sz w:val="20"/>
                <w:szCs w:val="20"/>
              </w:rPr>
              <w:t>工作前</w:t>
            </w:r>
            <w:r>
              <w:rPr>
                <w:rFonts w:ascii="Times New Roman" w:hAnsi="Times New Roman" w:eastAsia="宋体" w:cs="Times New Roman"/>
                <w:color w:val="000000"/>
                <w:kern w:val="0"/>
                <w:sz w:val="20"/>
                <w:szCs w:val="20"/>
              </w:rPr>
              <w:t>5</w:t>
            </w:r>
            <w:r>
              <w:rPr>
                <w:rFonts w:hint="eastAsia" w:ascii="宋体" w:hAnsi="宋体" w:eastAsia="宋体" w:cs="Times New Roman"/>
                <w:color w:val="000000"/>
                <w:kern w:val="0"/>
                <w:sz w:val="20"/>
                <w:szCs w:val="20"/>
              </w:rPr>
              <w:t>年薪酬待遇</w:t>
            </w:r>
            <w:r>
              <w:rPr>
                <w:rFonts w:hint="eastAsia" w:ascii="宋体" w:hAnsi="宋体" w:eastAsia="宋体" w:cs="Times New Roman"/>
                <w:color w:val="000000"/>
                <w:kern w:val="0"/>
                <w:sz w:val="20"/>
                <w:szCs w:val="20"/>
                <w:lang w:val="en-US" w:eastAsia="zh-CN"/>
              </w:rPr>
              <w:t>不低于</w:t>
            </w:r>
            <w:r>
              <w:rPr>
                <w:rFonts w:hint="eastAsia" w:ascii="宋体" w:hAnsi="宋体" w:eastAsia="宋体" w:cs="Times New Roman"/>
                <w:color w:val="000000"/>
                <w:kern w:val="0"/>
                <w:sz w:val="20"/>
                <w:szCs w:val="20"/>
              </w:rPr>
              <w:t>同</w:t>
            </w:r>
            <w:r>
              <w:rPr>
                <w:rFonts w:hint="eastAsia" w:ascii="宋体" w:hAnsi="宋体" w:eastAsia="宋体" w:cs="Times New Roman"/>
                <w:color w:val="000000"/>
                <w:kern w:val="0"/>
                <w:sz w:val="20"/>
                <w:szCs w:val="20"/>
                <w:lang w:val="en-US" w:eastAsia="zh-CN"/>
              </w:rPr>
              <w:t>类</w:t>
            </w:r>
            <w:r>
              <w:rPr>
                <w:rFonts w:hint="eastAsia" w:ascii="宋体" w:hAnsi="宋体" w:eastAsia="宋体" w:cs="Times New Roman"/>
                <w:color w:val="000000"/>
                <w:kern w:val="0"/>
                <w:sz w:val="20"/>
                <w:szCs w:val="20"/>
              </w:rPr>
              <w:t>全额事业编制人员；</w:t>
            </w:r>
          </w:p>
          <w:p>
            <w:pPr>
              <w:widowControl/>
              <w:numPr>
                <w:ilvl w:val="0"/>
                <w:numId w:val="0"/>
              </w:numPr>
              <w:spacing w:line="240" w:lineRule="exact"/>
              <w:jc w:val="left"/>
              <w:rPr>
                <w:rFonts w:hint="eastAsia" w:ascii="宋体" w:hAnsi="宋体" w:eastAsia="宋体" w:cs="Times New Roman"/>
                <w:color w:val="000000"/>
                <w:kern w:val="0"/>
                <w:sz w:val="20"/>
                <w:szCs w:val="20"/>
              </w:rPr>
            </w:pPr>
            <w:r>
              <w:rPr>
                <w:rFonts w:ascii="Times New Roman" w:hAnsi="Times New Roman" w:eastAsia="宋体" w:cs="Times New Roman"/>
                <w:color w:val="000000"/>
                <w:kern w:val="0"/>
                <w:sz w:val="20"/>
                <w:szCs w:val="20"/>
              </w:rPr>
              <w:br w:type="page"/>
            </w:r>
            <w:r>
              <w:rPr>
                <w:rFonts w:ascii="Times New Roman" w:hAnsi="Times New Roman" w:eastAsia="宋体" w:cs="Times New Roman"/>
                <w:color w:val="000000"/>
                <w:kern w:val="0"/>
                <w:sz w:val="20"/>
                <w:szCs w:val="20"/>
              </w:rPr>
              <w:t>2.5</w:t>
            </w:r>
            <w:r>
              <w:rPr>
                <w:rFonts w:hint="eastAsia" w:ascii="宋体" w:hAnsi="宋体" w:eastAsia="宋体" w:cs="Times New Roman"/>
                <w:color w:val="000000"/>
                <w:kern w:val="0"/>
                <w:sz w:val="20"/>
                <w:szCs w:val="20"/>
              </w:rPr>
              <w:t>年内享受兴化市企业引进高层次人才有关待遇；</w:t>
            </w:r>
          </w:p>
          <w:p>
            <w:pPr>
              <w:widowControl/>
              <w:spacing w:line="240" w:lineRule="exac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page"/>
            </w:r>
            <w:r>
              <w:rPr>
                <w:rFonts w:ascii="Times New Roman" w:hAnsi="Times New Roman" w:eastAsia="宋体" w:cs="Times New Roman"/>
                <w:color w:val="000000"/>
                <w:kern w:val="0"/>
                <w:sz w:val="20"/>
                <w:szCs w:val="20"/>
              </w:rPr>
              <w:t>3.</w:t>
            </w:r>
            <w:r>
              <w:rPr>
                <w:rFonts w:hint="eastAsia" w:ascii="宋体" w:hAnsi="宋体" w:eastAsia="宋体" w:cs="Times New Roman"/>
                <w:color w:val="000000"/>
                <w:kern w:val="0"/>
                <w:sz w:val="20"/>
                <w:szCs w:val="20"/>
              </w:rPr>
              <w:t>由兴化市委组织部跟踪管理，纳入优秀年轻干部库重点培养。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兴化市属国有企业岗位</w:t>
            </w:r>
            <w:r>
              <w:rPr>
                <w:rFonts w:ascii="Times New Roman" w:hAnsi="Times New Roman" w:eastAsia="宋体" w:cs="Times New Roman"/>
                <w:color w:val="000000"/>
                <w:kern w:val="0"/>
                <w:sz w:val="20"/>
                <w:szCs w:val="20"/>
              </w:rPr>
              <w:t>3</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专业类</w:t>
            </w:r>
            <w:r>
              <w:rPr>
                <w:rFonts w:ascii="Times New Roman" w:hAnsi="Times New Roman" w:eastAsia="宋体" w:cs="Times New Roman"/>
                <w:color w:val="000000"/>
                <w:kern w:val="0"/>
                <w:sz w:val="20"/>
                <w:szCs w:val="20"/>
              </w:rPr>
              <w:t>3</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工作人员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民商法学，经济法学，法学，法律，经济法，民商法，法学（法务会计），信用风险管理与法律防控</w:t>
            </w:r>
          </w:p>
        </w:tc>
        <w:tc>
          <w:tcPr>
            <w:tcW w:w="689"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04"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5"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7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兴化市属国有企业岗位</w:t>
            </w:r>
            <w:r>
              <w:rPr>
                <w:rFonts w:ascii="Times New Roman" w:hAnsi="Times New Roman" w:eastAsia="宋体" w:cs="Times New Roman"/>
                <w:color w:val="000000"/>
                <w:kern w:val="0"/>
                <w:sz w:val="20"/>
                <w:szCs w:val="20"/>
              </w:rPr>
              <w:t>4</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专业类</w:t>
            </w:r>
            <w:r>
              <w:rPr>
                <w:rFonts w:ascii="Times New Roman" w:hAnsi="Times New Roman" w:eastAsia="宋体" w:cs="Times New Roman"/>
                <w:kern w:val="0"/>
                <w:sz w:val="20"/>
                <w:szCs w:val="20"/>
              </w:rPr>
              <w:t>4</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3B-4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工作人员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hint="eastAsia" w:ascii="宋体" w:hAnsi="宋体" w:eastAsia="宋体" w:cs="Times New Roman"/>
                <w:kern w:val="0"/>
                <w:sz w:val="20"/>
                <w:szCs w:val="20"/>
              </w:rPr>
              <w:t>市场营销，国际市场营销，市场营销教育，销售管理，商务策划管理</w:t>
            </w:r>
          </w:p>
        </w:tc>
        <w:tc>
          <w:tcPr>
            <w:tcW w:w="689"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04" w:type="pct"/>
            <w:vMerge w:val="continue"/>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5"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72" w:type="pct"/>
            <w:vMerge w:val="continue"/>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海陵区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w:t>
            </w:r>
          </w:p>
        </w:tc>
        <w:tc>
          <w:tcPr>
            <w:tcW w:w="319"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泰州海陵城市发展集团有限公司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投资租赁专员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经济类</w:t>
            </w:r>
          </w:p>
        </w:tc>
        <w:tc>
          <w:tcPr>
            <w:tcW w:w="689" w:type="pct"/>
            <w:vMerge w:val="restar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.须具有泰州市户籍（以报名截止日前本人、父母或配偶的户籍状态为准）。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.毕业学校应具备以下条件之一：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①第一轮“一流大学”建设高校全日制本科毕业生；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②第二轮“双一流”建设高校全日制硕士研究生及以上学历毕业生（本科须为第二轮“双一流”建设高校全日制毕业生）；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③最新世界大学排名榜单（</w:t>
            </w:r>
            <w:r>
              <w:rPr>
                <w:rFonts w:hint="eastAsia" w:ascii="Times New Roman" w:hAnsi="Times New Roman" w:eastAsia="宋体" w:cs="宋体"/>
                <w:color w:val="000000"/>
                <w:kern w:val="0"/>
                <w:sz w:val="20"/>
                <w:szCs w:val="20"/>
              </w:rPr>
              <w:t>QS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THE</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NEWS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ARWU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CWUR</w:t>
            </w:r>
            <w:r>
              <w:rPr>
                <w:rFonts w:hint="eastAsia" w:ascii="宋体" w:hAnsi="宋体" w:eastAsia="宋体" w:cs="宋体"/>
                <w:color w:val="000000"/>
                <w:kern w:val="0"/>
                <w:sz w:val="20"/>
                <w:szCs w:val="20"/>
              </w:rPr>
              <w:t>）前</w:t>
            </w:r>
            <w:r>
              <w:rPr>
                <w:rFonts w:hint="eastAsia" w:ascii="Times New Roman" w:hAnsi="Times New Roman" w:eastAsia="宋体" w:cs="宋体"/>
                <w:color w:val="000000"/>
                <w:kern w:val="0"/>
                <w:sz w:val="20"/>
                <w:szCs w:val="20"/>
              </w:rPr>
              <w:t>100</w:t>
            </w:r>
            <w:r>
              <w:rPr>
                <w:rFonts w:hint="eastAsia" w:ascii="宋体" w:hAnsi="宋体" w:eastAsia="宋体" w:cs="宋体"/>
                <w:color w:val="000000"/>
                <w:kern w:val="0"/>
                <w:sz w:val="20"/>
                <w:szCs w:val="20"/>
              </w:rPr>
              <w:t>名国（境）外高校的全日制硕士研究生及以上学历毕业生（本科须为第二轮“双一流”建设高校全日制毕业生）。</w:t>
            </w:r>
          </w:p>
        </w:tc>
        <w:tc>
          <w:tcPr>
            <w:tcW w:w="504"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color w:val="000000"/>
                <w:kern w:val="0"/>
                <w:sz w:val="20"/>
                <w:szCs w:val="20"/>
              </w:rPr>
              <w:t>电子邮箱：hlnqgb@126.com</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咨询电话：0523-86221506</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275"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综合能力测试</w:t>
            </w:r>
          </w:p>
        </w:tc>
        <w:tc>
          <w:tcPr>
            <w:tcW w:w="572" w:type="pct"/>
            <w:vMerge w:val="restar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聘用人员工资待遇一般</w:t>
            </w:r>
            <w:r>
              <w:rPr>
                <w:rFonts w:hint="eastAsia" w:ascii="宋体" w:hAnsi="宋体" w:eastAsia="宋体" w:cs="宋体"/>
                <w:color w:val="000000"/>
                <w:kern w:val="0"/>
                <w:sz w:val="20"/>
                <w:szCs w:val="20"/>
                <w:lang w:val="en-US" w:eastAsia="zh-CN"/>
              </w:rPr>
              <w:t>不低于本地区同类</w:t>
            </w:r>
            <w:r>
              <w:rPr>
                <w:rFonts w:hint="eastAsia" w:ascii="宋体" w:hAnsi="宋体" w:eastAsia="宋体" w:cs="宋体"/>
                <w:color w:val="000000"/>
                <w:kern w:val="0"/>
                <w:sz w:val="20"/>
                <w:szCs w:val="20"/>
              </w:rPr>
              <w:t>事业人员，按照相关政策规定享受人才待遇。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海陵区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w:t>
            </w:r>
          </w:p>
        </w:tc>
        <w:tc>
          <w:tcPr>
            <w:tcW w:w="31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审计类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审计专员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审计类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海陵区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w:t>
            </w:r>
          </w:p>
        </w:tc>
        <w:tc>
          <w:tcPr>
            <w:tcW w:w="31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商务贸易类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商务贸易专员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商务贸易类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海陵区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泰州东部新城发展集团有限公司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经济类、财务财会类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投融资专员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经济类、财务财会类</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海陵区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w:t>
            </w:r>
          </w:p>
        </w:tc>
        <w:tc>
          <w:tcPr>
            <w:tcW w:w="319" w:type="pct"/>
            <w:vMerge w:val="restar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泰州海能新能源集团有限公司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法律类、审计类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审计法务专员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法学、国际法、国际经济法、法学理论、法律史、审计学、财务会计与审计</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海陵区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w:t>
            </w:r>
          </w:p>
        </w:tc>
        <w:tc>
          <w:tcPr>
            <w:tcW w:w="31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经济类、财务财会类、商务贸易类、统计类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4B-6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投融资专员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经济学、财政学、金融学、会计学、财务管理、国际经济与贸易、财政学、统计学、系统理论</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金东城投等</w:t>
            </w:r>
            <w:r>
              <w:rPr>
                <w:rFonts w:hint="eastAsia" w:ascii="Times New Roman" w:hAnsi="Times New Roman" w:eastAsia="宋体" w:cs="宋体"/>
                <w:kern w:val="0"/>
                <w:sz w:val="20"/>
                <w:szCs w:val="20"/>
              </w:rPr>
              <w:t>5</w:t>
            </w:r>
            <w:r>
              <w:rPr>
                <w:rFonts w:hint="eastAsia" w:ascii="宋体" w:hAnsi="宋体" w:eastAsia="宋体" w:cs="宋体"/>
                <w:kern w:val="0"/>
                <w:sz w:val="20"/>
                <w:szCs w:val="20"/>
              </w:rPr>
              <w:t>家国企单位</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经济类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5B-1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工作人员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经济学、金融学、经济与金融、保险学、金融数学、大数据与审计、会计、财政学、数量经济学、金融工程、税务、产业经济学、统计学、应用经济学、理论经济学</w:t>
            </w:r>
          </w:p>
        </w:tc>
        <w:tc>
          <w:tcPr>
            <w:tcW w:w="689" w:type="pct"/>
            <w:vMerge w:val="restart"/>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应具备以下条件之一：</w:t>
            </w:r>
            <w:r>
              <w:rPr>
                <w:rFonts w:hint="eastAsia" w:ascii="宋体" w:hAnsi="宋体" w:eastAsia="宋体" w:cs="宋体"/>
                <w:kern w:val="0"/>
                <w:sz w:val="20"/>
                <w:szCs w:val="20"/>
              </w:rPr>
              <w:br w:type="page"/>
            </w:r>
            <w:r>
              <w:rPr>
                <w:rFonts w:hint="eastAsia" w:ascii="宋体" w:hAnsi="宋体" w:eastAsia="宋体" w:cs="宋体"/>
                <w:kern w:val="0"/>
                <w:sz w:val="20"/>
                <w:szCs w:val="20"/>
              </w:rPr>
              <w:t>①第二轮“双一流”建设高校全日制本科及以上学历毕业生；</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br w:type="page"/>
            </w:r>
            <w:r>
              <w:rPr>
                <w:rFonts w:hint="eastAsia" w:ascii="宋体" w:hAnsi="宋体" w:eastAsia="宋体" w:cs="宋体"/>
                <w:kern w:val="0"/>
                <w:sz w:val="20"/>
                <w:szCs w:val="20"/>
              </w:rPr>
              <w:t>②最新世界大学排名榜单（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color w:val="FF0000"/>
                <w:kern w:val="0"/>
                <w:sz w:val="20"/>
                <w:szCs w:val="20"/>
              </w:rPr>
              <w:t>200</w:t>
            </w:r>
            <w:r>
              <w:rPr>
                <w:rFonts w:hint="eastAsia" w:ascii="宋体" w:hAnsi="宋体" w:eastAsia="宋体" w:cs="宋体"/>
                <w:color w:val="FF0000"/>
                <w:kern w:val="0"/>
                <w:sz w:val="20"/>
                <w:szCs w:val="20"/>
              </w:rPr>
              <w:t>名</w:t>
            </w:r>
            <w:r>
              <w:rPr>
                <w:rFonts w:hint="eastAsia" w:ascii="宋体" w:hAnsi="宋体" w:eastAsia="宋体" w:cs="宋体"/>
                <w:kern w:val="0"/>
                <w:sz w:val="20"/>
                <w:szCs w:val="20"/>
              </w:rPr>
              <w:t>国（境）外高校的全日制硕士研究生及以上学历毕业生。</w:t>
            </w:r>
            <w:r>
              <w:rPr>
                <w:rFonts w:hint="eastAsia" w:ascii="宋体" w:hAnsi="宋体" w:eastAsia="宋体" w:cs="宋体"/>
                <w:kern w:val="0"/>
                <w:sz w:val="20"/>
                <w:szCs w:val="20"/>
              </w:rPr>
              <w:br w:type="page"/>
            </w:r>
            <w:r>
              <w:rPr>
                <w:rFonts w:hint="eastAsia" w:ascii="宋体" w:hAnsi="宋体" w:eastAsia="宋体" w:cs="宋体"/>
                <w:kern w:val="0"/>
                <w:sz w:val="20"/>
                <w:szCs w:val="20"/>
              </w:rPr>
              <w:br w:type="page"/>
            </w:r>
            <w:r>
              <w:rPr>
                <w:rFonts w:ascii="Times New Roman" w:hAnsi="Times New Roman" w:eastAsia="宋体" w:cs="Times New Roman"/>
                <w:kern w:val="0"/>
                <w:sz w:val="20"/>
                <w:szCs w:val="20"/>
              </w:rPr>
              <w:br w:type="page"/>
            </w:r>
          </w:p>
        </w:tc>
        <w:tc>
          <w:tcPr>
            <w:tcW w:w="504" w:type="pct"/>
            <w:vMerge w:val="restart"/>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电子邮箱：jygzbzhk@163.com</w:t>
            </w: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咨询电话：0523-88869310</w:t>
            </w:r>
          </w:p>
        </w:tc>
        <w:tc>
          <w:tcPr>
            <w:tcW w:w="182" w:type="pct"/>
            <w:vMerge w:val="restar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5" w:type="pct"/>
            <w:vMerge w:val="restar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72" w:type="pct"/>
            <w:vMerge w:val="restart"/>
            <w:shd w:val="clear" w:color="auto" w:fill="auto"/>
            <w:tcMar>
              <w:top w:w="28" w:type="dxa"/>
              <w:left w:w="57" w:type="dxa"/>
              <w:bottom w:w="28" w:type="dxa"/>
              <w:right w:w="57" w:type="dxa"/>
            </w:tcMar>
            <w:vAlign w:val="center"/>
          </w:tcPr>
          <w:p>
            <w:pPr>
              <w:widowControl/>
              <w:numPr>
                <w:ilvl w:val="0"/>
                <w:numId w:val="0"/>
              </w:numPr>
              <w:spacing w:line="240" w:lineRule="exact"/>
              <w:jc w:val="left"/>
              <w:rPr>
                <w:rFonts w:hint="eastAsia" w:ascii="宋体" w:hAnsi="宋体" w:eastAsia="宋体" w:cs="Times New Roman"/>
                <w:color w:val="000000"/>
                <w:kern w:val="0"/>
                <w:sz w:val="20"/>
                <w:szCs w:val="20"/>
                <w:lang w:eastAsia="zh-CN"/>
              </w:rPr>
            </w:pPr>
            <w:r>
              <w:rPr>
                <w:rFonts w:hint="eastAsia" w:ascii="宋体" w:hAnsi="宋体" w:eastAsia="宋体" w:cs="Times New Roman"/>
                <w:color w:val="000000"/>
                <w:kern w:val="0"/>
                <w:sz w:val="20"/>
                <w:szCs w:val="20"/>
                <w:lang w:val="en-US" w:eastAsia="zh-CN"/>
              </w:rPr>
              <w:t>1.</w:t>
            </w:r>
            <w:r>
              <w:rPr>
                <w:rFonts w:hint="eastAsia" w:ascii="宋体" w:hAnsi="宋体" w:eastAsia="宋体" w:cs="Times New Roman"/>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Times New Roman"/>
                <w:color w:val="000000"/>
                <w:kern w:val="0"/>
                <w:sz w:val="20"/>
                <w:szCs w:val="20"/>
              </w:rPr>
              <w:t>年薪酬待遇</w:t>
            </w:r>
            <w:r>
              <w:rPr>
                <w:rFonts w:hint="eastAsia" w:ascii="宋体" w:hAnsi="宋体" w:eastAsia="宋体" w:cs="Times New Roman"/>
                <w:color w:val="000000"/>
                <w:kern w:val="0"/>
                <w:sz w:val="20"/>
                <w:szCs w:val="20"/>
                <w:lang w:val="en-US" w:eastAsia="zh-CN"/>
              </w:rPr>
              <w:t>高于本地区同类事业</w:t>
            </w:r>
            <w:r>
              <w:rPr>
                <w:rFonts w:hint="eastAsia" w:ascii="宋体" w:hAnsi="宋体" w:eastAsia="宋体" w:cs="Times New Roman"/>
                <w:color w:val="000000"/>
                <w:kern w:val="0"/>
                <w:sz w:val="20"/>
                <w:szCs w:val="20"/>
              </w:rPr>
              <w:t>人员</w:t>
            </w:r>
            <w:r>
              <w:rPr>
                <w:rFonts w:ascii="Times New Roman" w:hAnsi="Times New Roman" w:eastAsia="宋体" w:cs="Times New Roman"/>
                <w:color w:val="000000"/>
                <w:kern w:val="0"/>
                <w:sz w:val="20"/>
                <w:szCs w:val="20"/>
              </w:rPr>
              <w:t>30%</w:t>
            </w:r>
            <w:r>
              <w:rPr>
                <w:rFonts w:hint="eastAsia" w:ascii="宋体" w:hAnsi="宋体" w:eastAsia="宋体" w:cs="Times New Roman"/>
                <w:color w:val="000000"/>
                <w:kern w:val="0"/>
                <w:sz w:val="20"/>
                <w:szCs w:val="20"/>
              </w:rPr>
              <w:t>，保险、公积金等按照国企同岗位层次人员标准执行</w:t>
            </w:r>
            <w:r>
              <w:rPr>
                <w:rFonts w:hint="eastAsia" w:ascii="宋体" w:hAnsi="宋体" w:eastAsia="宋体" w:cs="Times New Roman"/>
                <w:color w:val="000000"/>
                <w:kern w:val="0"/>
                <w:sz w:val="20"/>
                <w:szCs w:val="20"/>
                <w:lang w:eastAsia="zh-CN"/>
              </w:rPr>
              <w:t>；</w:t>
            </w:r>
          </w:p>
          <w:p>
            <w:pPr>
              <w:widowControl/>
              <w:numPr>
                <w:ilvl w:val="0"/>
                <w:numId w:val="0"/>
              </w:numPr>
              <w:spacing w:line="240" w:lineRule="exac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page"/>
            </w:r>
            <w:r>
              <w:rPr>
                <w:rFonts w:ascii="Times New Roman" w:hAnsi="Times New Roman" w:eastAsia="宋体" w:cs="Times New Roman"/>
                <w:color w:val="000000"/>
                <w:kern w:val="0"/>
                <w:sz w:val="20"/>
                <w:szCs w:val="20"/>
              </w:rPr>
              <w:t>2.</w:t>
            </w:r>
            <w:r>
              <w:rPr>
                <w:rFonts w:hint="eastAsia" w:ascii="宋体" w:hAnsi="宋体" w:eastAsia="宋体" w:cs="Times New Roman"/>
                <w:color w:val="000000"/>
                <w:kern w:val="0"/>
                <w:sz w:val="20"/>
                <w:szCs w:val="20"/>
              </w:rPr>
              <w:t>可申请入住区级人才公寓</w:t>
            </w:r>
            <w:r>
              <w:rPr>
                <w:rFonts w:ascii="Times New Roman" w:hAnsi="Times New Roman" w:eastAsia="宋体" w:cs="Times New Roman"/>
                <w:color w:val="000000"/>
                <w:kern w:val="0"/>
                <w:sz w:val="20"/>
                <w:szCs w:val="20"/>
              </w:rPr>
              <w:t>3</w:t>
            </w:r>
            <w:r>
              <w:rPr>
                <w:rFonts w:hint="eastAsia" w:ascii="宋体" w:hAnsi="宋体" w:eastAsia="宋体" w:cs="Times New Roman"/>
                <w:color w:val="000000"/>
                <w:kern w:val="0"/>
                <w:sz w:val="20"/>
                <w:szCs w:val="20"/>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金东城投等</w:t>
            </w:r>
            <w:r>
              <w:rPr>
                <w:rFonts w:hint="eastAsia" w:ascii="Times New Roman" w:hAnsi="Times New Roman" w:eastAsia="宋体" w:cs="宋体"/>
                <w:kern w:val="0"/>
                <w:sz w:val="20"/>
                <w:szCs w:val="20"/>
              </w:rPr>
              <w:t>5</w:t>
            </w:r>
            <w:r>
              <w:rPr>
                <w:rFonts w:hint="eastAsia" w:ascii="宋体" w:hAnsi="宋体" w:eastAsia="宋体" w:cs="宋体"/>
                <w:kern w:val="0"/>
                <w:sz w:val="20"/>
                <w:szCs w:val="20"/>
              </w:rPr>
              <w:t>家国企单位</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工程管理类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5B-2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工作人员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交通工程、交通设备信息工程、交通建设与装备、交通管理工程、交通土建工程、工程造价管理、工程造价、土木工程、工程管理、建筑工程、给水排水工程、市政工程</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泰州市</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金东城投等</w:t>
            </w:r>
            <w:r>
              <w:rPr>
                <w:rFonts w:hint="eastAsia" w:ascii="Times New Roman" w:hAnsi="Times New Roman" w:eastAsia="宋体" w:cs="宋体"/>
                <w:kern w:val="0"/>
                <w:sz w:val="20"/>
                <w:szCs w:val="20"/>
              </w:rPr>
              <w:t>5</w:t>
            </w:r>
            <w:r>
              <w:rPr>
                <w:rFonts w:hint="eastAsia" w:ascii="宋体" w:hAnsi="宋体" w:eastAsia="宋体" w:cs="宋体"/>
                <w:kern w:val="0"/>
                <w:sz w:val="20"/>
                <w:szCs w:val="20"/>
              </w:rPr>
              <w:t>家国企单位</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旅游管理类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5B-3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工作人员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旅游管理、旅游规划与设计、旅游管理与服务教育、会展艺术与技术、环境艺术设计、酒店管理，会展经济与管理、风景园林、风景园林学、园林植物与观赏园艺、景观学、景观设计、景观建筑设计、风景园林规划与设计</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vMerge w:val="continue"/>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泰州华信药业投资有限公司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1</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融资专员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经济学、金融学、经济与金融、金融数学、大数据与审计、会计、财政学、数量经济学、税务、统计学、应用经济学、理论经济学</w:t>
            </w:r>
          </w:p>
        </w:tc>
        <w:tc>
          <w:tcPr>
            <w:tcW w:w="689" w:type="pct"/>
            <w:vMerge w:val="restart"/>
            <w:tcMar>
              <w:top w:w="28" w:type="dxa"/>
              <w:left w:w="57" w:type="dxa"/>
              <w:bottom w:w="28" w:type="dxa"/>
              <w:right w:w="57" w:type="dxa"/>
            </w:tcMar>
            <w:vAlign w:val="center"/>
          </w:tcPr>
          <w:p>
            <w:pPr>
              <w:widowControl/>
              <w:numPr>
                <w:ilvl w:val="0"/>
                <w:numId w:val="1"/>
              </w:numPr>
              <w:spacing w:line="240" w:lineRule="exact"/>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毕业院校应具备以下条件之一：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①第一轮“一流大学”建设高校全日制本科毕业生</w:t>
            </w:r>
            <w:r>
              <w:rPr>
                <w:rFonts w:hint="eastAsia" w:ascii="宋体" w:hAnsi="宋体" w:eastAsia="宋体" w:cs="宋体"/>
                <w:color w:val="000000"/>
                <w:kern w:val="0"/>
                <w:sz w:val="20"/>
                <w:szCs w:val="20"/>
                <w:lang w:eastAsia="zh-CN"/>
              </w:rPr>
              <w:t>；</w:t>
            </w:r>
          </w:p>
          <w:p>
            <w:pPr>
              <w:widowControl/>
              <w:numPr>
                <w:ilvl w:val="0"/>
                <w:numId w:val="0"/>
              </w:numPr>
              <w:spacing w:line="240" w:lineRule="exact"/>
              <w:jc w:val="left"/>
              <w:rPr>
                <w:rFonts w:ascii="宋体" w:hAnsi="宋体" w:eastAsia="宋体" w:cs="宋体"/>
                <w:kern w:val="0"/>
                <w:sz w:val="20"/>
                <w:szCs w:val="20"/>
              </w:rPr>
            </w:pPr>
            <w:r>
              <w:rPr>
                <w:rFonts w:hint="eastAsia" w:ascii="宋体" w:hAnsi="宋体" w:eastAsia="宋体" w:cs="宋体"/>
                <w:color w:val="000000"/>
                <w:kern w:val="0"/>
                <w:sz w:val="20"/>
                <w:szCs w:val="20"/>
              </w:rPr>
              <w:t>②第一轮“一流大学”建设高校、第二轮“双一流”建设高校全日制硕士研究生及以上学历毕业生（本科须为第二轮“双一流”建设高校全日制毕业生）</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③最新世界大学排名榜单（</w:t>
            </w:r>
            <w:r>
              <w:rPr>
                <w:rFonts w:hint="eastAsia" w:ascii="Times New Roman" w:hAnsi="Times New Roman" w:eastAsia="宋体" w:cs="宋体"/>
                <w:color w:val="000000"/>
                <w:kern w:val="0"/>
                <w:sz w:val="20"/>
                <w:szCs w:val="20"/>
              </w:rPr>
              <w:t>QS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THE</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NEWS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ARWU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CWUR</w:t>
            </w:r>
            <w:r>
              <w:rPr>
                <w:rFonts w:hint="eastAsia" w:ascii="宋体" w:hAnsi="宋体" w:eastAsia="宋体" w:cs="宋体"/>
                <w:color w:val="000000"/>
                <w:kern w:val="0"/>
                <w:sz w:val="20"/>
                <w:szCs w:val="20"/>
              </w:rPr>
              <w:t>）前</w:t>
            </w:r>
            <w:r>
              <w:rPr>
                <w:rFonts w:hint="eastAsia" w:ascii="Times New Roman" w:hAnsi="Times New Roman" w:eastAsia="宋体" w:cs="宋体"/>
                <w:color w:val="000000"/>
                <w:kern w:val="0"/>
                <w:sz w:val="20"/>
                <w:szCs w:val="20"/>
              </w:rPr>
              <w:t>100</w:t>
            </w:r>
            <w:r>
              <w:rPr>
                <w:rFonts w:hint="eastAsia" w:ascii="宋体" w:hAnsi="宋体" w:eastAsia="宋体" w:cs="宋体"/>
                <w:color w:val="000000"/>
                <w:kern w:val="0"/>
                <w:sz w:val="20"/>
                <w:szCs w:val="20"/>
              </w:rPr>
              <w:t>名国（境）外高校的全日制硕士研究生及以上学历毕业生（本科须为第二轮“双一流”建设高校全日制毕业生）。</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.拥有行业实习实践经验，持有专业资格证书者优先。</w:t>
            </w:r>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电子邮箱：</w:t>
            </w:r>
            <w:r>
              <w:rPr>
                <w:rFonts w:hint="default" w:ascii="Times New Roman" w:hAnsi="Times New Roman" w:eastAsia="宋体" w:cs="Times New Roman"/>
                <w:kern w:val="0"/>
                <w:sz w:val="20"/>
                <w:szCs w:val="20"/>
              </w:rPr>
              <w:fldChar w:fldCharType="begin"/>
            </w:r>
            <w:r>
              <w:rPr>
                <w:rFonts w:hint="default" w:ascii="Times New Roman" w:hAnsi="Times New Roman" w:eastAsia="宋体" w:cs="Times New Roman"/>
                <w:kern w:val="0"/>
                <w:sz w:val="20"/>
                <w:szCs w:val="20"/>
              </w:rPr>
              <w:instrText xml:space="preserve"> HYPERLINK "mailto:tzgxdqzp@126.com" </w:instrText>
            </w:r>
            <w:r>
              <w:rPr>
                <w:rFonts w:hint="default" w:ascii="Times New Roman" w:hAnsi="Times New Roman" w:eastAsia="宋体" w:cs="Times New Roman"/>
                <w:kern w:val="0"/>
                <w:sz w:val="20"/>
                <w:szCs w:val="20"/>
              </w:rPr>
              <w:fldChar w:fldCharType="separate"/>
            </w:r>
            <w:r>
              <w:rPr>
                <w:rStyle w:val="6"/>
                <w:rFonts w:hint="default" w:ascii="Times New Roman" w:hAnsi="Times New Roman" w:eastAsia="宋体" w:cs="Times New Roman"/>
                <w:color w:val="auto"/>
                <w:kern w:val="0"/>
                <w:sz w:val="20"/>
                <w:szCs w:val="20"/>
                <w:u w:val="none"/>
              </w:rPr>
              <w:t>tzgxdqzp@126.com</w:t>
            </w:r>
            <w:r>
              <w:rPr>
                <w:rFonts w:hint="default" w:ascii="Times New Roman" w:hAnsi="Times New Roman" w:eastAsia="宋体" w:cs="Times New Roman"/>
                <w:kern w:val="0"/>
                <w:sz w:val="20"/>
                <w:szCs w:val="20"/>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咨询电话：</w:t>
            </w:r>
            <w:r>
              <w:rPr>
                <w:rFonts w:hint="default" w:ascii="Times New Roman" w:hAnsi="Times New Roman" w:eastAsia="宋体" w:cs="Times New Roman"/>
                <w:kern w:val="0"/>
                <w:sz w:val="20"/>
                <w:szCs w:val="20"/>
                <w:lang w:val="en-US" w:eastAsia="zh-CN"/>
              </w:rPr>
              <w:t>13301433588</w:t>
            </w:r>
          </w:p>
        </w:tc>
        <w:tc>
          <w:tcPr>
            <w:tcW w:w="182" w:type="pct"/>
            <w:vMerge w:val="restart"/>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kern w:val="0"/>
                <w:sz w:val="20"/>
                <w:szCs w:val="20"/>
              </w:rPr>
              <w:t>2</w:t>
            </w:r>
          </w:p>
        </w:tc>
        <w:tc>
          <w:tcPr>
            <w:tcW w:w="275" w:type="pct"/>
            <w:vMerge w:val="restart"/>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72" w:type="pct"/>
            <w:vMerge w:val="restart"/>
            <w:tcMar>
              <w:top w:w="28" w:type="dxa"/>
              <w:left w:w="57" w:type="dxa"/>
              <w:bottom w:w="28" w:type="dxa"/>
              <w:right w:w="57" w:type="dxa"/>
            </w:tcMar>
            <w:vAlign w:val="center"/>
          </w:tcPr>
          <w:p>
            <w:pPr>
              <w:widowControl/>
              <w:spacing w:line="240" w:lineRule="exact"/>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年为培养锻炼期，培养锻炼期薪酬待遇一般高于</w:t>
            </w:r>
            <w:r>
              <w:rPr>
                <w:rFonts w:hint="eastAsia" w:ascii="宋体" w:hAnsi="宋体" w:eastAsia="宋体" w:cs="宋体"/>
                <w:color w:val="000000"/>
                <w:kern w:val="0"/>
                <w:sz w:val="20"/>
                <w:szCs w:val="20"/>
                <w:lang w:val="en-US" w:eastAsia="zh-CN"/>
              </w:rPr>
              <w:t>区本级</w:t>
            </w:r>
            <w:r>
              <w:rPr>
                <w:rFonts w:hint="eastAsia" w:ascii="宋体" w:hAnsi="宋体" w:eastAsia="宋体" w:cs="宋体"/>
                <w:color w:val="000000"/>
                <w:kern w:val="0"/>
                <w:sz w:val="20"/>
                <w:szCs w:val="20"/>
              </w:rPr>
              <w:t>同</w:t>
            </w:r>
            <w:r>
              <w:rPr>
                <w:rFonts w:hint="eastAsia" w:ascii="宋体" w:hAnsi="宋体" w:eastAsia="宋体" w:cs="宋体"/>
                <w:color w:val="000000"/>
                <w:kern w:val="0"/>
                <w:sz w:val="20"/>
                <w:szCs w:val="20"/>
                <w:lang w:val="en-US" w:eastAsia="zh-CN"/>
              </w:rPr>
              <w:t>类</w:t>
            </w:r>
            <w:r>
              <w:rPr>
                <w:rFonts w:hint="eastAsia" w:ascii="宋体" w:hAnsi="宋体" w:eastAsia="宋体" w:cs="宋体"/>
                <w:color w:val="000000"/>
                <w:kern w:val="0"/>
                <w:sz w:val="20"/>
                <w:szCs w:val="20"/>
              </w:rPr>
              <w:t>事业人员</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，培养锻炼期满后按照聘任岗位领取薪酬。</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.可申请享受企业引进高层次人才相关</w:t>
            </w:r>
            <w:r>
              <w:rPr>
                <w:rFonts w:hint="eastAsia" w:ascii="宋体" w:hAnsi="宋体" w:eastAsia="宋体" w:cs="宋体"/>
                <w:color w:val="000000"/>
                <w:kern w:val="0"/>
                <w:sz w:val="20"/>
                <w:szCs w:val="20"/>
                <w:lang w:val="en-US" w:eastAsia="zh-CN"/>
              </w:rPr>
              <w:t>补贴</w:t>
            </w:r>
            <w:r>
              <w:rPr>
                <w:rFonts w:hint="eastAsia" w:ascii="宋体" w:hAnsi="宋体" w:eastAsia="宋体" w:cs="宋体"/>
                <w:color w:val="000000"/>
                <w:kern w:val="0"/>
                <w:sz w:val="20"/>
                <w:szCs w:val="20"/>
              </w:rPr>
              <w:t>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江苏创鸿资产管理有限公司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审计类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2</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审计专员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distribute"/>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审计学，财务会计与审计，审计学（</w:t>
            </w:r>
            <w:r>
              <w:rPr>
                <w:rFonts w:hint="eastAsia" w:ascii="Times New Roman" w:hAnsi="Times New Roman" w:eastAsia="宋体" w:cs="宋体"/>
                <w:color w:val="000000"/>
                <w:kern w:val="0"/>
                <w:sz w:val="20"/>
                <w:szCs w:val="20"/>
              </w:rPr>
              <w:t>ACCA</w:t>
            </w:r>
            <w:r>
              <w:rPr>
                <w:rFonts w:hint="eastAsia" w:ascii="宋体" w:hAnsi="宋体" w:eastAsia="宋体" w:cs="宋体"/>
                <w:color w:val="000000"/>
                <w:kern w:val="0"/>
                <w:sz w:val="20"/>
                <w:szCs w:val="20"/>
              </w:rPr>
              <w:t>方向），大数据与审计</w:t>
            </w:r>
          </w:p>
        </w:tc>
        <w:tc>
          <w:tcPr>
            <w:tcW w:w="689" w:type="pct"/>
            <w:vMerge w:val="continue"/>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电子邮箱：</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"mailto:tzgxdqzp@126.com"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tzgxdqzp@126.com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咨询电话</w:t>
            </w:r>
            <w:r>
              <w:rPr>
                <w:rFonts w:hint="default" w:ascii="Times New Roman" w:hAnsi="Times New Roman" w:eastAsia="宋体" w:cs="Times New Roman"/>
                <w:kern w:val="0"/>
                <w:sz w:val="20"/>
                <w:szCs w:val="20"/>
                <w:lang w:eastAsia="zh-CN"/>
              </w:rPr>
              <w:t>：</w:t>
            </w:r>
            <w:r>
              <w:rPr>
                <w:rFonts w:hint="default" w:ascii="Times New Roman" w:hAnsi="Times New Roman" w:eastAsia="宋体" w:cs="Times New Roman"/>
                <w:kern w:val="0"/>
                <w:sz w:val="20"/>
                <w:szCs w:val="20"/>
              </w:rPr>
              <w:t>13901435831</w:t>
            </w:r>
          </w:p>
        </w:tc>
        <w:tc>
          <w:tcPr>
            <w:tcW w:w="182" w:type="pct"/>
            <w:vMerge w:val="continue"/>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泰州鑫泰集团有限公司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3</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融资专员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经济学、金融学、经济与金融、保险学、金融数学、大数据与审计、会计、财政学、数量经济学、产业经济学、统计学、应用经济学、理论经济学</w:t>
            </w:r>
          </w:p>
        </w:tc>
        <w:tc>
          <w:tcPr>
            <w:tcW w:w="689" w:type="pct"/>
            <w:vMerge w:val="continue"/>
            <w:tcMar>
              <w:top w:w="28" w:type="dxa"/>
              <w:left w:w="57" w:type="dxa"/>
              <w:bottom w:w="28" w:type="dxa"/>
              <w:right w:w="57" w:type="dxa"/>
            </w:tcMar>
            <w:vAlign w:val="center"/>
          </w:tcPr>
          <w:p>
            <w:pPr>
              <w:widowControl/>
              <w:spacing w:line="240" w:lineRule="exact"/>
              <w:rPr>
                <w:rFonts w:ascii="宋体" w:hAnsi="宋体" w:eastAsia="宋体" w:cs="宋体"/>
                <w:kern w:val="0"/>
                <w:sz w:val="20"/>
                <w:szCs w:val="20"/>
              </w:rPr>
            </w:pPr>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电子邮箱：</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"mailto:tzgxdqzp@126.com"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tzgxdqzp@126.com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咨询电话</w:t>
            </w:r>
            <w:r>
              <w:rPr>
                <w:rFonts w:hint="default" w:ascii="Times New Roman" w:hAnsi="Times New Roman" w:eastAsia="宋体" w:cs="Times New Roman"/>
                <w:kern w:val="0"/>
                <w:sz w:val="20"/>
                <w:szCs w:val="20"/>
                <w:lang w:eastAsia="zh-CN"/>
              </w:rPr>
              <w:t>：</w:t>
            </w:r>
            <w:r>
              <w:rPr>
                <w:rFonts w:hint="default" w:ascii="Times New Roman" w:hAnsi="Times New Roman" w:eastAsia="宋体" w:cs="Times New Roman"/>
                <w:color w:val="000000"/>
                <w:kern w:val="0"/>
                <w:sz w:val="20"/>
                <w:szCs w:val="20"/>
              </w:rPr>
              <w:t>18852644432</w:t>
            </w:r>
          </w:p>
        </w:tc>
        <w:tc>
          <w:tcPr>
            <w:tcW w:w="182" w:type="pct"/>
            <w:vMerge w:val="continue"/>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p>
        </w:tc>
        <w:tc>
          <w:tcPr>
            <w:tcW w:w="275" w:type="pct"/>
            <w:vMerge w:val="continue"/>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p>
        </w:tc>
        <w:tc>
          <w:tcPr>
            <w:tcW w:w="572" w:type="pct"/>
            <w:vMerge w:val="continue"/>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泰州市新滨江开发有限责任公司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4</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融资专员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经济类、财务财会类</w:t>
            </w:r>
          </w:p>
        </w:tc>
        <w:tc>
          <w:tcPr>
            <w:tcW w:w="689" w:type="pct"/>
            <w:tcMar>
              <w:top w:w="28" w:type="dxa"/>
              <w:left w:w="57" w:type="dxa"/>
              <w:bottom w:w="28" w:type="dxa"/>
              <w:right w:w="57" w:type="dxa"/>
            </w:tcMar>
            <w:vAlign w:val="center"/>
          </w:tcPr>
          <w:p>
            <w:pPr>
              <w:widowControl/>
              <w:numPr>
                <w:ilvl w:val="0"/>
                <w:numId w:val="0"/>
              </w:numPr>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SA"/>
              </w:rPr>
              <w:t>1.</w:t>
            </w:r>
            <w:r>
              <w:rPr>
                <w:rFonts w:hint="eastAsia" w:ascii="宋体" w:hAnsi="宋体" w:eastAsia="宋体" w:cs="宋体"/>
                <w:kern w:val="0"/>
                <w:sz w:val="20"/>
                <w:szCs w:val="20"/>
              </w:rPr>
              <w:t>毕业院校应具备以下条件之一：</w:t>
            </w:r>
          </w:p>
          <w:p>
            <w:pPr>
              <w:widowControl/>
              <w:numPr>
                <w:ilvl w:val="0"/>
                <w:numId w:val="0"/>
              </w:numPr>
              <w:spacing w:line="24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br w:type="page"/>
            </w:r>
            <w:r>
              <w:rPr>
                <w:rFonts w:ascii="宋体" w:hAnsi="宋体" w:eastAsia="宋体" w:cs="宋体"/>
                <w:kern w:val="0"/>
                <w:sz w:val="20"/>
                <w:szCs w:val="20"/>
              </w:rPr>
              <w:t>①</w:t>
            </w:r>
            <w:r>
              <w:rPr>
                <w:rFonts w:hint="eastAsia" w:ascii="宋体" w:hAnsi="宋体" w:eastAsia="宋体" w:cs="宋体"/>
                <w:kern w:val="0"/>
                <w:sz w:val="20"/>
                <w:szCs w:val="20"/>
              </w:rPr>
              <w:t>第一轮“一流大学”建设高校全日制本科毕业生</w:t>
            </w:r>
            <w:r>
              <w:rPr>
                <w:rFonts w:hint="eastAsia" w:ascii="宋体" w:hAnsi="宋体" w:eastAsia="宋体" w:cs="宋体"/>
                <w:kern w:val="0"/>
                <w:sz w:val="20"/>
                <w:szCs w:val="20"/>
                <w:lang w:eastAsia="zh-CN"/>
              </w:rPr>
              <w:t>；</w:t>
            </w:r>
          </w:p>
          <w:p>
            <w:pPr>
              <w:widowControl/>
              <w:numPr>
                <w:ilvl w:val="0"/>
                <w:numId w:val="0"/>
              </w:numPr>
              <w:spacing w:line="24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br w:type="page"/>
            </w:r>
            <w:r>
              <w:rPr>
                <w:rFonts w:hint="eastAsia" w:ascii="宋体" w:hAnsi="宋体" w:eastAsia="宋体" w:cs="宋体"/>
                <w:kern w:val="0"/>
                <w:sz w:val="20"/>
                <w:szCs w:val="20"/>
              </w:rPr>
              <w:t>②第一轮“一流大学”建设高校、第二轮“双一流”建设高校全日制硕士研究生及以上学历毕业生（本科须为第二轮“双一流”建设高校全日制毕业生）</w:t>
            </w:r>
            <w:r>
              <w:rPr>
                <w:rFonts w:hint="eastAsia" w:ascii="宋体" w:hAnsi="宋体" w:eastAsia="宋体" w:cs="宋体"/>
                <w:kern w:val="0"/>
                <w:sz w:val="20"/>
                <w:szCs w:val="20"/>
                <w:lang w:eastAsia="zh-CN"/>
              </w:rPr>
              <w:t>；</w:t>
            </w:r>
          </w:p>
          <w:p>
            <w:pPr>
              <w:widowControl/>
              <w:numPr>
                <w:ilvl w:val="0"/>
                <w:numId w:val="0"/>
              </w:numPr>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br w:type="page"/>
            </w:r>
            <w:r>
              <w:rPr>
                <w:rFonts w:hint="eastAsia" w:ascii="宋体" w:hAnsi="宋体" w:eastAsia="宋体" w:cs="宋体"/>
                <w:kern w:val="0"/>
                <w:sz w:val="20"/>
                <w:szCs w:val="20"/>
              </w:rPr>
              <w:t>③最新世界大学排名榜单（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名国（境）外高校的全日制硕士研究生及以上学历毕业生（本科须为第二轮“双一流”建设高校全日制毕业生）。</w:t>
            </w:r>
          </w:p>
          <w:p>
            <w:pPr>
              <w:widowControl/>
              <w:numPr>
                <w:ilvl w:val="0"/>
                <w:numId w:val="0"/>
              </w:numPr>
              <w:spacing w:line="24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br w:type="page"/>
            </w:r>
            <w:r>
              <w:rPr>
                <w:rFonts w:hint="eastAsia" w:ascii="Times New Roman" w:hAnsi="Times New Roman" w:eastAsia="宋体" w:cs="宋体"/>
                <w:kern w:val="0"/>
                <w:sz w:val="20"/>
                <w:szCs w:val="20"/>
              </w:rPr>
              <w:t>2</w:t>
            </w:r>
            <w:r>
              <w:rPr>
                <w:rFonts w:hint="eastAsia" w:ascii="宋体" w:hAnsi="宋体" w:eastAsia="宋体" w:cs="宋体"/>
                <w:kern w:val="0"/>
                <w:sz w:val="20"/>
                <w:szCs w:val="20"/>
              </w:rPr>
              <w:t>.责任心强，开拓能力强，有较好的沟通协调能力</w:t>
            </w:r>
            <w:r>
              <w:rPr>
                <w:rFonts w:hint="eastAsia" w:ascii="宋体" w:hAnsi="宋体" w:eastAsia="宋体" w:cs="宋体"/>
                <w:kern w:val="0"/>
                <w:sz w:val="20"/>
                <w:szCs w:val="20"/>
                <w:lang w:eastAsia="zh-CN"/>
              </w:rPr>
              <w:t>。</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br w:type="page"/>
            </w:r>
            <w:r>
              <w:rPr>
                <w:rFonts w:hint="eastAsia" w:ascii="Times New Roman" w:hAnsi="Times New Roman" w:eastAsia="宋体" w:cs="宋体"/>
                <w:kern w:val="0"/>
                <w:sz w:val="20"/>
                <w:szCs w:val="20"/>
              </w:rPr>
              <w:t>3</w:t>
            </w:r>
            <w:r>
              <w:rPr>
                <w:rFonts w:hint="eastAsia" w:ascii="宋体" w:hAnsi="宋体" w:eastAsia="宋体" w:cs="宋体"/>
                <w:kern w:val="0"/>
                <w:sz w:val="20"/>
                <w:szCs w:val="20"/>
              </w:rPr>
              <w:t>.熟悉金融政策及相关法律法规。</w:t>
            </w:r>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电子邮箱：tzgxdqzp@126.com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咨询电话：18051186568</w:t>
            </w:r>
          </w:p>
        </w:tc>
        <w:tc>
          <w:tcPr>
            <w:tcW w:w="182" w:type="pct"/>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kern w:val="0"/>
                <w:sz w:val="20"/>
                <w:szCs w:val="20"/>
              </w:rPr>
              <w:t>2</w:t>
            </w:r>
          </w:p>
        </w:tc>
        <w:tc>
          <w:tcPr>
            <w:tcW w:w="275" w:type="pct"/>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72" w:type="pct"/>
            <w:tcMar>
              <w:top w:w="28" w:type="dxa"/>
              <w:left w:w="57" w:type="dxa"/>
              <w:bottom w:w="28" w:type="dxa"/>
              <w:right w:w="57" w:type="dxa"/>
            </w:tcMar>
            <w:vAlign w:val="center"/>
          </w:tcPr>
          <w:p>
            <w:pPr>
              <w:widowControl/>
              <w:numPr>
                <w:ilvl w:val="0"/>
                <w:numId w:val="0"/>
              </w:numPr>
              <w:spacing w:line="240" w:lineRule="exact"/>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年为培养锻炼期，培养锻炼期薪酬待遇一般高于</w:t>
            </w:r>
            <w:r>
              <w:rPr>
                <w:rFonts w:hint="eastAsia" w:ascii="宋体" w:hAnsi="宋体" w:eastAsia="宋体" w:cs="宋体"/>
                <w:color w:val="000000"/>
                <w:kern w:val="0"/>
                <w:sz w:val="20"/>
                <w:szCs w:val="20"/>
                <w:lang w:val="en-US" w:eastAsia="zh-CN"/>
              </w:rPr>
              <w:t>区本级</w:t>
            </w:r>
            <w:r>
              <w:rPr>
                <w:rFonts w:hint="eastAsia" w:ascii="宋体" w:hAnsi="宋体" w:eastAsia="宋体" w:cs="宋体"/>
                <w:color w:val="000000"/>
                <w:kern w:val="0"/>
                <w:sz w:val="20"/>
                <w:szCs w:val="20"/>
              </w:rPr>
              <w:t>同</w:t>
            </w:r>
            <w:r>
              <w:rPr>
                <w:rFonts w:hint="eastAsia" w:ascii="宋体" w:hAnsi="宋体" w:eastAsia="宋体" w:cs="宋体"/>
                <w:color w:val="000000"/>
                <w:kern w:val="0"/>
                <w:sz w:val="20"/>
                <w:szCs w:val="20"/>
                <w:lang w:val="en-US" w:eastAsia="zh-CN"/>
              </w:rPr>
              <w:t>类</w:t>
            </w:r>
            <w:r>
              <w:rPr>
                <w:rFonts w:hint="eastAsia" w:ascii="宋体" w:hAnsi="宋体" w:eastAsia="宋体" w:cs="宋体"/>
                <w:color w:val="000000"/>
                <w:kern w:val="0"/>
                <w:sz w:val="20"/>
                <w:szCs w:val="20"/>
              </w:rPr>
              <w:t>事业人员</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，培养锻炼期满后按照聘任岗位领取薪酬。</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.可申请享受企业引进高层次人才相关</w:t>
            </w:r>
            <w:r>
              <w:rPr>
                <w:rFonts w:hint="eastAsia" w:ascii="宋体" w:hAnsi="宋体" w:eastAsia="宋体" w:cs="宋体"/>
                <w:color w:val="000000"/>
                <w:kern w:val="0"/>
                <w:sz w:val="20"/>
                <w:szCs w:val="20"/>
                <w:lang w:val="en-US" w:eastAsia="zh-CN"/>
              </w:rPr>
              <w:t>补贴</w:t>
            </w:r>
            <w:r>
              <w:rPr>
                <w:rFonts w:hint="eastAsia" w:ascii="宋体" w:hAnsi="宋体" w:eastAsia="宋体" w:cs="宋体"/>
                <w:color w:val="000000"/>
                <w:kern w:val="0"/>
                <w:sz w:val="20"/>
                <w:szCs w:val="20"/>
              </w:rPr>
              <w:t>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32"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泰州市高港高新区开发建设有限责任公司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5</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融资专员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国际经济与贸易</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财政学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金融学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国民经济管理</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贸易经济</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税务</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经济与金融，金融管理</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金融</w:t>
            </w:r>
          </w:p>
        </w:tc>
        <w:tc>
          <w:tcPr>
            <w:tcW w:w="689" w:type="pct"/>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.毕业院校应具备以下条件之一：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①第一轮“一流大学”建设高校全日制本科毕业生。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②第一轮“一流大学”建设高校、第二轮“双一流”建设高校全日制硕士研究生及以上学历毕业生（本科须为第二轮“双一流”建设高校全日制毕业生）。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③最新世界大学排名榜单（</w:t>
            </w:r>
            <w:r>
              <w:rPr>
                <w:rFonts w:hint="eastAsia" w:ascii="Times New Roman" w:hAnsi="Times New Roman" w:eastAsia="宋体" w:cs="宋体"/>
                <w:color w:val="000000"/>
                <w:kern w:val="0"/>
                <w:sz w:val="20"/>
                <w:szCs w:val="20"/>
              </w:rPr>
              <w:t>QS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THE</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NEWS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ARWU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CWUR</w:t>
            </w:r>
            <w:r>
              <w:rPr>
                <w:rFonts w:hint="eastAsia" w:ascii="宋体" w:hAnsi="宋体" w:eastAsia="宋体" w:cs="宋体"/>
                <w:color w:val="000000"/>
                <w:kern w:val="0"/>
                <w:sz w:val="20"/>
                <w:szCs w:val="20"/>
              </w:rPr>
              <w:t>）前</w:t>
            </w:r>
            <w:r>
              <w:rPr>
                <w:rFonts w:hint="eastAsia" w:ascii="Times New Roman" w:hAnsi="Times New Roman" w:eastAsia="宋体" w:cs="宋体"/>
                <w:color w:val="000000"/>
                <w:kern w:val="0"/>
                <w:sz w:val="20"/>
                <w:szCs w:val="20"/>
              </w:rPr>
              <w:t>100</w:t>
            </w:r>
            <w:r>
              <w:rPr>
                <w:rFonts w:hint="eastAsia" w:ascii="宋体" w:hAnsi="宋体" w:eastAsia="宋体" w:cs="宋体"/>
                <w:color w:val="000000"/>
                <w:kern w:val="0"/>
                <w:sz w:val="20"/>
                <w:szCs w:val="20"/>
              </w:rPr>
              <w:t>名国（境）外高校的全日制硕士研究生及以上学历毕业生（本科须为第二轮“双一流”建设高校全日制毕业生）。</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.拥有行业实习实践经验，持有专业资格证书者优先。</w:t>
            </w:r>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报名网址：www.tzjob.com</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电子邮箱：tzgxdqzp@126.com</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咨询电话：13</w:t>
            </w:r>
            <w:r>
              <w:rPr>
                <w:rFonts w:hint="default" w:ascii="Times New Roman" w:hAnsi="Times New Roman" w:eastAsia="宋体" w:cs="Times New Roman"/>
                <w:color w:val="000000"/>
                <w:kern w:val="0"/>
                <w:sz w:val="20"/>
                <w:szCs w:val="20"/>
                <w:lang w:val="en-US" w:eastAsia="zh-CN"/>
              </w:rPr>
              <w:t>852675646</w:t>
            </w:r>
          </w:p>
        </w:tc>
        <w:tc>
          <w:tcPr>
            <w:tcW w:w="182" w:type="pct"/>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kern w:val="0"/>
                <w:sz w:val="20"/>
                <w:szCs w:val="20"/>
              </w:rPr>
              <w:t>2</w:t>
            </w:r>
          </w:p>
        </w:tc>
        <w:tc>
          <w:tcPr>
            <w:tcW w:w="275" w:type="pct"/>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72" w:type="pct"/>
            <w:tcMar>
              <w:top w:w="28" w:type="dxa"/>
              <w:left w:w="57" w:type="dxa"/>
              <w:bottom w:w="28" w:type="dxa"/>
              <w:right w:w="57" w:type="dxa"/>
            </w:tcMar>
            <w:vAlign w:val="center"/>
          </w:tcPr>
          <w:p>
            <w:pPr>
              <w:widowControl/>
              <w:spacing w:line="240" w:lineRule="exact"/>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年为培养锻炼期，培养锻炼期薪酬待遇一般高于</w:t>
            </w:r>
            <w:r>
              <w:rPr>
                <w:rFonts w:hint="eastAsia" w:ascii="宋体" w:hAnsi="宋体" w:eastAsia="宋体" w:cs="宋体"/>
                <w:color w:val="000000"/>
                <w:kern w:val="0"/>
                <w:sz w:val="20"/>
                <w:szCs w:val="20"/>
                <w:lang w:val="en-US" w:eastAsia="zh-CN"/>
              </w:rPr>
              <w:t>区本级</w:t>
            </w:r>
            <w:r>
              <w:rPr>
                <w:rFonts w:hint="eastAsia" w:ascii="宋体" w:hAnsi="宋体" w:eastAsia="宋体" w:cs="宋体"/>
                <w:color w:val="000000"/>
                <w:kern w:val="0"/>
                <w:sz w:val="20"/>
                <w:szCs w:val="20"/>
              </w:rPr>
              <w:t>同</w:t>
            </w:r>
            <w:r>
              <w:rPr>
                <w:rFonts w:hint="eastAsia" w:ascii="宋体" w:hAnsi="宋体" w:eastAsia="宋体" w:cs="宋体"/>
                <w:color w:val="000000"/>
                <w:kern w:val="0"/>
                <w:sz w:val="20"/>
                <w:szCs w:val="20"/>
                <w:lang w:val="en-US" w:eastAsia="zh-CN"/>
              </w:rPr>
              <w:t>类</w:t>
            </w:r>
            <w:r>
              <w:rPr>
                <w:rFonts w:hint="eastAsia" w:ascii="宋体" w:hAnsi="宋体" w:eastAsia="宋体" w:cs="宋体"/>
                <w:color w:val="000000"/>
                <w:kern w:val="0"/>
                <w:sz w:val="20"/>
                <w:szCs w:val="20"/>
              </w:rPr>
              <w:t>事业人员</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，培养锻炼期满后按照聘任岗位领取薪酬。</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.可申请享受企业引进高层次人才相关</w:t>
            </w:r>
            <w:r>
              <w:rPr>
                <w:rFonts w:hint="eastAsia" w:ascii="宋体" w:hAnsi="宋体" w:eastAsia="宋体" w:cs="宋体"/>
                <w:color w:val="000000"/>
                <w:kern w:val="0"/>
                <w:sz w:val="20"/>
                <w:szCs w:val="20"/>
                <w:lang w:val="en-US" w:eastAsia="zh-CN"/>
              </w:rPr>
              <w:t>补贴</w:t>
            </w:r>
            <w:r>
              <w:rPr>
                <w:rFonts w:hint="eastAsia" w:ascii="宋体" w:hAnsi="宋体" w:eastAsia="宋体" w:cs="宋体"/>
                <w:color w:val="000000"/>
                <w:kern w:val="0"/>
                <w:sz w:val="20"/>
                <w:szCs w:val="20"/>
              </w:rPr>
              <w:t>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3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江苏泰州港核心</w:t>
            </w:r>
          </w:p>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港区投资</w:t>
            </w:r>
          </w:p>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财务财会类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6</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财务专员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会计学、财务管理、财务会计与审计、会计、金融工程</w:t>
            </w:r>
          </w:p>
        </w:tc>
        <w:tc>
          <w:tcPr>
            <w:tcW w:w="689" w:type="pct"/>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1</w:t>
            </w:r>
            <w:r>
              <w:rPr>
                <w:rFonts w:hint="eastAsia" w:ascii="宋体" w:hAnsi="宋体" w:eastAsia="宋体" w:cs="宋体"/>
                <w:kern w:val="0"/>
                <w:sz w:val="20"/>
                <w:szCs w:val="20"/>
              </w:rPr>
              <w:t>.毕业院校应具备以下条件之一：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①第一轮“一流大学”建设高校全日制本科毕业生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②第一轮“一流大学”建设高校、第二轮“双一流”建设高校全日制硕士研究生及以上学历毕业生（本科须为第二轮“双一流”建设高校全日制毕业生）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rPr>
              <w:t>③最新世界大学排名榜单（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名国（境）外高校的全日制硕士研究生及以上学历毕业生（本科须为第二轮“双一流”建设高校全日制毕业生）。</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2</w:t>
            </w:r>
            <w:r>
              <w:rPr>
                <w:rFonts w:hint="eastAsia" w:ascii="宋体" w:hAnsi="宋体" w:eastAsia="宋体" w:cs="宋体"/>
                <w:kern w:val="0"/>
                <w:sz w:val="20"/>
                <w:szCs w:val="20"/>
              </w:rPr>
              <w:t>.具有会计初级职称。</w:t>
            </w:r>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电子邮箱：</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"mailto:tzgxdqzp@126.com"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tzgxdqzp@126.com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br w:type="page"/>
            </w:r>
            <w:r>
              <w:rPr>
                <w:rFonts w:hint="default" w:ascii="Times New Roman" w:hAnsi="Times New Roman" w:eastAsia="宋体" w:cs="Times New Roman"/>
                <w:kern w:val="0"/>
                <w:sz w:val="20"/>
                <w:szCs w:val="20"/>
              </w:rPr>
              <w:t>咨询电话：1</w:t>
            </w:r>
            <w:r>
              <w:rPr>
                <w:rFonts w:hint="default" w:ascii="Times New Roman" w:hAnsi="Times New Roman" w:eastAsia="宋体" w:cs="Times New Roman"/>
                <w:kern w:val="0"/>
                <w:sz w:val="20"/>
                <w:szCs w:val="20"/>
                <w:lang w:val="en-US" w:eastAsia="zh-CN"/>
              </w:rPr>
              <w:t>5951163465</w:t>
            </w:r>
          </w:p>
        </w:tc>
        <w:tc>
          <w:tcPr>
            <w:tcW w:w="182" w:type="pct"/>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kern w:val="0"/>
                <w:sz w:val="20"/>
                <w:szCs w:val="20"/>
              </w:rPr>
              <w:t>2</w:t>
            </w:r>
          </w:p>
        </w:tc>
        <w:tc>
          <w:tcPr>
            <w:tcW w:w="275" w:type="pct"/>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72" w:type="pct"/>
            <w:tcMar>
              <w:top w:w="28" w:type="dxa"/>
              <w:left w:w="57" w:type="dxa"/>
              <w:bottom w:w="28" w:type="dxa"/>
              <w:right w:w="57" w:type="dxa"/>
            </w:tcMar>
            <w:vAlign w:val="center"/>
          </w:tcPr>
          <w:p>
            <w:pPr>
              <w:widowControl/>
              <w:spacing w:line="240" w:lineRule="exact"/>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年为培养锻炼期，培养锻炼期薪酬待遇一般高于</w:t>
            </w:r>
            <w:r>
              <w:rPr>
                <w:rFonts w:hint="eastAsia" w:ascii="宋体" w:hAnsi="宋体" w:eastAsia="宋体" w:cs="宋体"/>
                <w:color w:val="000000"/>
                <w:kern w:val="0"/>
                <w:sz w:val="20"/>
                <w:szCs w:val="20"/>
                <w:lang w:val="en-US" w:eastAsia="zh-CN"/>
              </w:rPr>
              <w:t>区本级</w:t>
            </w:r>
            <w:r>
              <w:rPr>
                <w:rFonts w:hint="eastAsia" w:ascii="宋体" w:hAnsi="宋体" w:eastAsia="宋体" w:cs="宋体"/>
                <w:color w:val="000000"/>
                <w:kern w:val="0"/>
                <w:sz w:val="20"/>
                <w:szCs w:val="20"/>
              </w:rPr>
              <w:t>同</w:t>
            </w:r>
            <w:r>
              <w:rPr>
                <w:rFonts w:hint="eastAsia" w:ascii="宋体" w:hAnsi="宋体" w:eastAsia="宋体" w:cs="宋体"/>
                <w:color w:val="000000"/>
                <w:kern w:val="0"/>
                <w:sz w:val="20"/>
                <w:szCs w:val="20"/>
                <w:lang w:val="en-US" w:eastAsia="zh-CN"/>
              </w:rPr>
              <w:t>类</w:t>
            </w:r>
            <w:r>
              <w:rPr>
                <w:rFonts w:hint="eastAsia" w:ascii="宋体" w:hAnsi="宋体" w:eastAsia="宋体" w:cs="宋体"/>
                <w:color w:val="000000"/>
                <w:kern w:val="0"/>
                <w:sz w:val="20"/>
                <w:szCs w:val="20"/>
              </w:rPr>
              <w:t>事业人员</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，培养锻炼期满后按照聘任岗位领取薪酬。</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.可申请享受企业引进高层次人才相关</w:t>
            </w:r>
            <w:r>
              <w:rPr>
                <w:rFonts w:hint="eastAsia" w:ascii="宋体" w:hAnsi="宋体" w:eastAsia="宋体" w:cs="宋体"/>
                <w:color w:val="000000"/>
                <w:kern w:val="0"/>
                <w:sz w:val="20"/>
                <w:szCs w:val="20"/>
                <w:lang w:val="en-US" w:eastAsia="zh-CN"/>
              </w:rPr>
              <w:t>补贴</w:t>
            </w:r>
            <w:r>
              <w:rPr>
                <w:rFonts w:hint="eastAsia" w:ascii="宋体" w:hAnsi="宋体" w:eastAsia="宋体" w:cs="宋体"/>
                <w:color w:val="000000"/>
                <w:kern w:val="0"/>
                <w:sz w:val="20"/>
                <w:szCs w:val="20"/>
              </w:rPr>
              <w:t>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泰州引江城市开发建设有限公司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财务财会类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7</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财务专员</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会计学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财政学（含税收学）</w:t>
            </w:r>
          </w:p>
        </w:tc>
        <w:tc>
          <w:tcPr>
            <w:tcW w:w="689" w:type="pct"/>
            <w:tcMar>
              <w:top w:w="28" w:type="dxa"/>
              <w:left w:w="57" w:type="dxa"/>
              <w:bottom w:w="28" w:type="dxa"/>
              <w:right w:w="57" w:type="dxa"/>
            </w:tcMar>
            <w:vAlign w:val="center"/>
          </w:tcPr>
          <w:p>
            <w:pPr>
              <w:widowControl/>
              <w:numPr>
                <w:ilvl w:val="0"/>
                <w:numId w:val="2"/>
              </w:numPr>
              <w:spacing w:line="240" w:lineRule="exact"/>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毕业院校应具备以下条件之一：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①第一轮“一流大学”建设高校全日制本科毕业生</w:t>
            </w:r>
            <w:r>
              <w:rPr>
                <w:rFonts w:hint="eastAsia" w:ascii="宋体" w:hAnsi="宋体" w:eastAsia="宋体" w:cs="宋体"/>
                <w:color w:val="000000"/>
                <w:kern w:val="0"/>
                <w:sz w:val="20"/>
                <w:szCs w:val="20"/>
                <w:lang w:eastAsia="zh-CN"/>
              </w:rPr>
              <w:t>；</w:t>
            </w:r>
          </w:p>
          <w:p>
            <w:pPr>
              <w:widowControl/>
              <w:numPr>
                <w:ilvl w:val="0"/>
                <w:numId w:val="0"/>
              </w:numPr>
              <w:spacing w:line="240" w:lineRule="exact"/>
              <w:jc w:val="left"/>
              <w:rPr>
                <w:rFonts w:ascii="宋体" w:hAnsi="宋体" w:eastAsia="宋体" w:cs="宋体"/>
                <w:kern w:val="0"/>
                <w:sz w:val="20"/>
                <w:szCs w:val="20"/>
              </w:rPr>
            </w:pPr>
            <w:r>
              <w:rPr>
                <w:rFonts w:hint="eastAsia" w:ascii="宋体" w:hAnsi="宋体" w:eastAsia="宋体" w:cs="宋体"/>
                <w:color w:val="000000"/>
                <w:kern w:val="0"/>
                <w:sz w:val="20"/>
                <w:szCs w:val="20"/>
              </w:rPr>
              <w:t>②第一轮“一流大学”建设高校、第二轮“双一流”建设高校全日制硕士研究生及以上学历毕业生（本科须为第二轮“双一流”建设高校全日制毕业生）</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③最新世界大学排名榜单（</w:t>
            </w:r>
            <w:r>
              <w:rPr>
                <w:rFonts w:hint="eastAsia" w:ascii="Times New Roman" w:hAnsi="Times New Roman" w:eastAsia="宋体" w:cs="宋体"/>
                <w:color w:val="000000"/>
                <w:kern w:val="0"/>
                <w:sz w:val="20"/>
                <w:szCs w:val="20"/>
              </w:rPr>
              <w:t>QS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THE</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NEWS</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ARWU</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CWUR</w:t>
            </w:r>
            <w:r>
              <w:rPr>
                <w:rFonts w:hint="eastAsia" w:ascii="宋体" w:hAnsi="宋体" w:eastAsia="宋体" w:cs="宋体"/>
                <w:color w:val="000000"/>
                <w:kern w:val="0"/>
                <w:sz w:val="20"/>
                <w:szCs w:val="20"/>
              </w:rPr>
              <w:t>）前</w:t>
            </w:r>
            <w:r>
              <w:rPr>
                <w:rFonts w:hint="eastAsia" w:ascii="Times New Roman" w:hAnsi="Times New Roman" w:eastAsia="宋体" w:cs="宋体"/>
                <w:color w:val="000000"/>
                <w:kern w:val="0"/>
                <w:sz w:val="20"/>
                <w:szCs w:val="20"/>
              </w:rPr>
              <w:t>100</w:t>
            </w:r>
            <w:r>
              <w:rPr>
                <w:rFonts w:hint="eastAsia" w:ascii="宋体" w:hAnsi="宋体" w:eastAsia="宋体" w:cs="宋体"/>
                <w:color w:val="000000"/>
                <w:kern w:val="0"/>
                <w:sz w:val="20"/>
                <w:szCs w:val="20"/>
              </w:rPr>
              <w:t>名国（境）外高校的全日制硕士研究生及以上学历毕业生（本科须为第二轮“双一流”建设高校全日制毕业生）。</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.拥有行业实习实践经验，持有专业资格证书者优先。</w:t>
            </w:r>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报名网址：www.tzjob.com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电子邮箱：tzgxdqzp@126.com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咨询电话：1</w:t>
            </w:r>
            <w:r>
              <w:rPr>
                <w:rFonts w:hint="default" w:ascii="Times New Roman" w:hAnsi="Times New Roman" w:eastAsia="宋体" w:cs="Times New Roman"/>
                <w:kern w:val="0"/>
                <w:sz w:val="20"/>
                <w:szCs w:val="20"/>
                <w:lang w:val="en-US" w:eastAsia="zh-CN"/>
              </w:rPr>
              <w:t>5105268890</w:t>
            </w:r>
          </w:p>
        </w:tc>
        <w:tc>
          <w:tcPr>
            <w:tcW w:w="182" w:type="pct"/>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kern w:val="0"/>
                <w:sz w:val="20"/>
                <w:szCs w:val="20"/>
              </w:rPr>
              <w:t>2</w:t>
            </w:r>
          </w:p>
        </w:tc>
        <w:tc>
          <w:tcPr>
            <w:tcW w:w="275" w:type="pct"/>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72" w:type="pct"/>
            <w:tcMar>
              <w:top w:w="28" w:type="dxa"/>
              <w:left w:w="57" w:type="dxa"/>
              <w:bottom w:w="28" w:type="dxa"/>
              <w:right w:w="57" w:type="dxa"/>
            </w:tcMar>
            <w:vAlign w:val="center"/>
          </w:tcPr>
          <w:p>
            <w:pPr>
              <w:widowControl/>
              <w:numPr>
                <w:ilvl w:val="0"/>
                <w:numId w:val="0"/>
              </w:numPr>
              <w:spacing w:line="240" w:lineRule="exact"/>
              <w:ind w:left="0" w:leftChars="0" w:firstLine="0" w:firstLineChars="0"/>
              <w:jc w:val="left"/>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年为培养锻炼期，培养锻炼期薪酬待遇一般高于</w:t>
            </w:r>
            <w:r>
              <w:rPr>
                <w:rFonts w:hint="eastAsia" w:ascii="宋体" w:hAnsi="宋体" w:eastAsia="宋体" w:cs="宋体"/>
                <w:color w:val="000000"/>
                <w:kern w:val="0"/>
                <w:sz w:val="20"/>
                <w:szCs w:val="20"/>
                <w:lang w:val="en-US" w:eastAsia="zh-CN"/>
              </w:rPr>
              <w:t>区本级</w:t>
            </w:r>
            <w:r>
              <w:rPr>
                <w:rFonts w:hint="eastAsia" w:ascii="宋体" w:hAnsi="宋体" w:eastAsia="宋体" w:cs="宋体"/>
                <w:color w:val="000000"/>
                <w:kern w:val="0"/>
                <w:sz w:val="20"/>
                <w:szCs w:val="20"/>
              </w:rPr>
              <w:t>同</w:t>
            </w:r>
            <w:r>
              <w:rPr>
                <w:rFonts w:hint="eastAsia" w:ascii="宋体" w:hAnsi="宋体" w:eastAsia="宋体" w:cs="宋体"/>
                <w:color w:val="000000"/>
                <w:kern w:val="0"/>
                <w:sz w:val="20"/>
                <w:szCs w:val="20"/>
                <w:lang w:val="en-US" w:eastAsia="zh-CN"/>
              </w:rPr>
              <w:t>类</w:t>
            </w:r>
            <w:r>
              <w:rPr>
                <w:rFonts w:hint="eastAsia" w:ascii="宋体" w:hAnsi="宋体" w:eastAsia="宋体" w:cs="宋体"/>
                <w:color w:val="000000"/>
                <w:kern w:val="0"/>
                <w:sz w:val="20"/>
                <w:szCs w:val="20"/>
              </w:rPr>
              <w:t>事业人员</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，培养锻炼期满后按照聘任岗位领取薪酬。</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.可申请享受企业引进高层次人才相关</w:t>
            </w:r>
            <w:r>
              <w:rPr>
                <w:rFonts w:hint="eastAsia" w:ascii="宋体" w:hAnsi="宋体" w:eastAsia="宋体" w:cs="宋体"/>
                <w:color w:val="000000"/>
                <w:kern w:val="0"/>
                <w:sz w:val="20"/>
                <w:szCs w:val="20"/>
                <w:lang w:val="en-US" w:eastAsia="zh-CN"/>
              </w:rPr>
              <w:t>补贴</w:t>
            </w:r>
            <w:r>
              <w:rPr>
                <w:rFonts w:hint="eastAsia" w:ascii="宋体" w:hAnsi="宋体" w:eastAsia="宋体" w:cs="宋体"/>
                <w:color w:val="000000"/>
                <w:kern w:val="0"/>
                <w:sz w:val="20"/>
                <w:szCs w:val="20"/>
              </w:rPr>
              <w:t>待遇。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6" w:hRule="atLeast"/>
          <w:jc w:val="center"/>
        </w:trPr>
        <w:tc>
          <w:tcPr>
            <w:tcW w:w="27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医药高新区（高港区）</w:t>
            </w:r>
          </w:p>
        </w:tc>
        <w:tc>
          <w:tcPr>
            <w:tcW w:w="21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泰州医药高新区华银金融投资有限公司</w:t>
            </w:r>
          </w:p>
        </w:tc>
        <w:tc>
          <w:tcPr>
            <w:tcW w:w="319"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经济类</w:t>
            </w:r>
          </w:p>
        </w:tc>
        <w:tc>
          <w:tcPr>
            <w:tcW w:w="229"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6B</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8</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投资经理</w:t>
            </w:r>
          </w:p>
        </w:tc>
        <w:tc>
          <w:tcPr>
            <w:tcW w:w="182" w:type="pct"/>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1</w:t>
            </w:r>
          </w:p>
        </w:tc>
        <w:tc>
          <w:tcPr>
            <w:tcW w:w="365" w:type="pct"/>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本科及以上</w:t>
            </w:r>
          </w:p>
        </w:tc>
        <w:tc>
          <w:tcPr>
            <w:tcW w:w="687" w:type="pct"/>
            <w:shd w:val="clear" w:color="auto" w:fill="auto"/>
            <w:tcMar>
              <w:top w:w="28" w:type="dxa"/>
              <w:left w:w="57" w:type="dxa"/>
              <w:bottom w:w="28" w:type="dxa"/>
              <w:right w:w="57" w:type="dxa"/>
            </w:tcMar>
            <w:vAlign w:val="center"/>
          </w:tcPr>
          <w:p>
            <w:pPr>
              <w:widowControl/>
              <w:spacing w:line="240" w:lineRule="exact"/>
              <w:jc w:val="both"/>
              <w:rPr>
                <w:rFonts w:hint="eastAsia" w:ascii="宋体" w:hAnsi="宋体" w:eastAsia="宋体" w:cs="宋体"/>
                <w:color w:val="000000"/>
                <w:kern w:val="0"/>
                <w:sz w:val="20"/>
                <w:szCs w:val="20"/>
              </w:rPr>
            </w:pPr>
            <w:r>
              <w:rPr>
                <w:rFonts w:hint="eastAsia" w:ascii="宋体" w:hAnsi="宋体" w:eastAsia="宋体" w:cs="宋体"/>
                <w:kern w:val="0"/>
                <w:sz w:val="20"/>
                <w:szCs w:val="20"/>
              </w:rPr>
              <w:t>经济学、金融学、经济与金融、保险学、金融数学、大数据与审计、会计、财政学、数量经济学、税务、产业经济学、统计学、应用经济学、理论经济学</w:t>
            </w:r>
          </w:p>
        </w:tc>
        <w:tc>
          <w:tcPr>
            <w:tcW w:w="689" w:type="pct"/>
            <w:tcMar>
              <w:top w:w="28" w:type="dxa"/>
              <w:left w:w="57" w:type="dxa"/>
              <w:bottom w:w="28" w:type="dxa"/>
              <w:right w:w="57" w:type="dxa"/>
            </w:tcMar>
            <w:vAlign w:val="center"/>
          </w:tcPr>
          <w:p>
            <w:pPr>
              <w:widowControl/>
              <w:numPr>
                <w:ilvl w:val="0"/>
                <w:numId w:val="0"/>
              </w:numPr>
              <w:spacing w:line="240" w:lineRule="exact"/>
              <w:rPr>
                <w:rFonts w:hint="eastAsia" w:ascii="宋体" w:hAnsi="宋体" w:eastAsia="宋体" w:cs="宋体"/>
                <w:spacing w:val="-4"/>
                <w:kern w:val="0"/>
                <w:sz w:val="20"/>
                <w:szCs w:val="20"/>
              </w:rPr>
            </w:pPr>
            <w:r>
              <w:rPr>
                <w:rFonts w:hint="eastAsia" w:ascii="宋体" w:hAnsi="宋体" w:eastAsia="宋体" w:cs="宋体"/>
                <w:spacing w:val="-4"/>
                <w:kern w:val="0"/>
                <w:sz w:val="20"/>
                <w:szCs w:val="20"/>
                <w:lang w:val="en-US" w:eastAsia="zh-CN"/>
              </w:rPr>
              <w:t>1.</w:t>
            </w:r>
            <w:r>
              <w:rPr>
                <w:rFonts w:hint="eastAsia" w:ascii="宋体" w:hAnsi="宋体" w:eastAsia="宋体" w:cs="宋体"/>
                <w:spacing w:val="-4"/>
                <w:kern w:val="0"/>
                <w:sz w:val="20"/>
                <w:szCs w:val="20"/>
              </w:rPr>
              <w:t>毕业院校应具备以下条件之一：</w:t>
            </w:r>
          </w:p>
          <w:p>
            <w:pPr>
              <w:widowControl/>
              <w:numPr>
                <w:ilvl w:val="0"/>
                <w:numId w:val="0"/>
              </w:numPr>
              <w:spacing w:line="240" w:lineRule="exact"/>
              <w:rPr>
                <w:rFonts w:hint="eastAsia" w:ascii="宋体" w:hAnsi="宋体" w:eastAsia="宋体" w:cs="宋体"/>
                <w:spacing w:val="-4"/>
                <w:kern w:val="0"/>
                <w:sz w:val="20"/>
                <w:szCs w:val="20"/>
                <w:lang w:eastAsia="zh-CN"/>
              </w:rPr>
            </w:pPr>
            <w:r>
              <w:rPr>
                <w:rFonts w:hint="eastAsia" w:ascii="宋体" w:hAnsi="宋体" w:eastAsia="宋体" w:cs="宋体"/>
                <w:spacing w:val="-4"/>
                <w:kern w:val="0"/>
                <w:sz w:val="20"/>
                <w:szCs w:val="20"/>
              </w:rPr>
              <w:br w:type="page"/>
            </w:r>
            <w:r>
              <w:rPr>
                <w:rFonts w:hint="eastAsia" w:ascii="宋体" w:hAnsi="宋体" w:eastAsia="宋体" w:cs="宋体"/>
                <w:spacing w:val="-4"/>
                <w:kern w:val="0"/>
                <w:sz w:val="20"/>
                <w:szCs w:val="20"/>
              </w:rPr>
              <w:t>①第一轮“一流大学”建设高校全日制本科毕业生</w:t>
            </w:r>
            <w:r>
              <w:rPr>
                <w:rFonts w:hint="eastAsia" w:ascii="宋体" w:hAnsi="宋体" w:eastAsia="宋体" w:cs="宋体"/>
                <w:spacing w:val="-4"/>
                <w:kern w:val="0"/>
                <w:sz w:val="20"/>
                <w:szCs w:val="20"/>
                <w:lang w:eastAsia="zh-CN"/>
              </w:rPr>
              <w:t>；</w:t>
            </w:r>
          </w:p>
          <w:p>
            <w:pPr>
              <w:widowControl/>
              <w:numPr>
                <w:ilvl w:val="0"/>
                <w:numId w:val="0"/>
              </w:numPr>
              <w:spacing w:line="240" w:lineRule="exact"/>
              <w:rPr>
                <w:rFonts w:hint="eastAsia" w:ascii="宋体" w:hAnsi="宋体" w:eastAsia="宋体" w:cs="宋体"/>
                <w:spacing w:val="-4"/>
                <w:kern w:val="0"/>
                <w:sz w:val="20"/>
                <w:szCs w:val="20"/>
                <w:lang w:eastAsia="zh-CN"/>
              </w:rPr>
            </w:pPr>
            <w:r>
              <w:rPr>
                <w:rFonts w:hint="eastAsia" w:ascii="宋体" w:hAnsi="宋体" w:eastAsia="宋体" w:cs="宋体"/>
                <w:spacing w:val="-4"/>
                <w:kern w:val="0"/>
                <w:sz w:val="20"/>
                <w:szCs w:val="20"/>
              </w:rPr>
              <w:br w:type="page"/>
            </w:r>
            <w:r>
              <w:rPr>
                <w:rFonts w:hint="eastAsia" w:ascii="宋体" w:hAnsi="宋体" w:eastAsia="宋体" w:cs="宋体"/>
                <w:spacing w:val="-4"/>
                <w:kern w:val="0"/>
                <w:sz w:val="20"/>
                <w:szCs w:val="20"/>
              </w:rPr>
              <w:t>②第一轮“一流大学”建设高校、第二轮“双一流”建设高校全日制硕士研究生及以上学历毕业生（本科须为第二轮“双一流”建设高校全日制毕业生）</w:t>
            </w:r>
            <w:r>
              <w:rPr>
                <w:rFonts w:hint="eastAsia" w:ascii="宋体" w:hAnsi="宋体" w:eastAsia="宋体" w:cs="宋体"/>
                <w:spacing w:val="-4"/>
                <w:kern w:val="0"/>
                <w:sz w:val="20"/>
                <w:szCs w:val="20"/>
                <w:lang w:eastAsia="zh-CN"/>
              </w:rPr>
              <w:t>；</w:t>
            </w:r>
          </w:p>
          <w:p>
            <w:pPr>
              <w:widowControl/>
              <w:numPr>
                <w:ilvl w:val="0"/>
                <w:numId w:val="0"/>
              </w:numPr>
              <w:spacing w:line="240" w:lineRule="exact"/>
              <w:rPr>
                <w:rFonts w:hint="eastAsia" w:ascii="宋体" w:hAnsi="宋体" w:eastAsia="宋体" w:cs="宋体"/>
                <w:spacing w:val="-4"/>
                <w:kern w:val="0"/>
                <w:sz w:val="20"/>
                <w:szCs w:val="20"/>
              </w:rPr>
            </w:pPr>
            <w:r>
              <w:rPr>
                <w:rFonts w:hint="eastAsia" w:ascii="宋体" w:hAnsi="宋体" w:eastAsia="宋体" w:cs="宋体"/>
                <w:spacing w:val="-4"/>
                <w:kern w:val="0"/>
                <w:sz w:val="20"/>
                <w:szCs w:val="20"/>
              </w:rPr>
              <w:br w:type="page"/>
            </w:r>
            <w:r>
              <w:rPr>
                <w:rFonts w:hint="eastAsia" w:ascii="宋体" w:hAnsi="宋体" w:eastAsia="宋体" w:cs="宋体"/>
                <w:spacing w:val="-4"/>
                <w:kern w:val="0"/>
                <w:sz w:val="20"/>
                <w:szCs w:val="20"/>
              </w:rPr>
              <w:t>③最新世界大学排名榜单（</w:t>
            </w:r>
            <w:r>
              <w:rPr>
                <w:rFonts w:hint="eastAsia" w:ascii="Times New Roman" w:hAnsi="Times New Roman" w:eastAsia="宋体" w:cs="宋体"/>
                <w:spacing w:val="-4"/>
                <w:kern w:val="0"/>
                <w:sz w:val="20"/>
                <w:szCs w:val="20"/>
              </w:rPr>
              <w:t>QS</w:t>
            </w:r>
            <w:r>
              <w:rPr>
                <w:rFonts w:hint="eastAsia" w:ascii="宋体" w:hAnsi="宋体" w:eastAsia="宋体" w:cs="宋体"/>
                <w:spacing w:val="-4"/>
                <w:kern w:val="0"/>
                <w:sz w:val="20"/>
                <w:szCs w:val="20"/>
              </w:rPr>
              <w:t>、</w:t>
            </w:r>
            <w:r>
              <w:rPr>
                <w:rFonts w:hint="eastAsia" w:ascii="Times New Roman" w:hAnsi="Times New Roman" w:eastAsia="宋体" w:cs="宋体"/>
                <w:spacing w:val="-4"/>
                <w:kern w:val="0"/>
                <w:sz w:val="20"/>
                <w:szCs w:val="20"/>
              </w:rPr>
              <w:t>THE</w:t>
            </w:r>
            <w:r>
              <w:rPr>
                <w:rFonts w:hint="eastAsia" w:ascii="宋体" w:hAnsi="宋体" w:eastAsia="宋体" w:cs="宋体"/>
                <w:spacing w:val="-4"/>
                <w:kern w:val="0"/>
                <w:sz w:val="20"/>
                <w:szCs w:val="20"/>
              </w:rPr>
              <w:t>、</w:t>
            </w:r>
            <w:r>
              <w:rPr>
                <w:rFonts w:hint="eastAsia" w:ascii="Times New Roman" w:hAnsi="Times New Roman" w:eastAsia="宋体" w:cs="宋体"/>
                <w:spacing w:val="-4"/>
                <w:kern w:val="0"/>
                <w:sz w:val="20"/>
                <w:szCs w:val="20"/>
              </w:rPr>
              <w:t>U</w:t>
            </w:r>
            <w:r>
              <w:rPr>
                <w:rFonts w:hint="eastAsia" w:ascii="宋体" w:hAnsi="宋体" w:eastAsia="宋体" w:cs="宋体"/>
                <w:spacing w:val="-4"/>
                <w:kern w:val="0"/>
                <w:sz w:val="20"/>
                <w:szCs w:val="20"/>
              </w:rPr>
              <w:t>.</w:t>
            </w:r>
            <w:r>
              <w:rPr>
                <w:rFonts w:hint="eastAsia" w:ascii="Times New Roman" w:hAnsi="Times New Roman" w:eastAsia="宋体" w:cs="宋体"/>
                <w:spacing w:val="-4"/>
                <w:kern w:val="0"/>
                <w:sz w:val="20"/>
                <w:szCs w:val="20"/>
              </w:rPr>
              <w:t>S</w:t>
            </w:r>
            <w:r>
              <w:rPr>
                <w:rFonts w:hint="eastAsia" w:ascii="宋体" w:hAnsi="宋体" w:eastAsia="宋体" w:cs="宋体"/>
                <w:spacing w:val="-4"/>
                <w:kern w:val="0"/>
                <w:sz w:val="20"/>
                <w:szCs w:val="20"/>
              </w:rPr>
              <w:t>.</w:t>
            </w:r>
            <w:r>
              <w:rPr>
                <w:rFonts w:hint="eastAsia" w:ascii="Times New Roman" w:hAnsi="Times New Roman" w:eastAsia="宋体" w:cs="宋体"/>
                <w:spacing w:val="-4"/>
                <w:kern w:val="0"/>
                <w:sz w:val="20"/>
                <w:szCs w:val="20"/>
              </w:rPr>
              <w:t>NEWS</w:t>
            </w:r>
            <w:r>
              <w:rPr>
                <w:rFonts w:hint="eastAsia" w:ascii="宋体" w:hAnsi="宋体" w:eastAsia="宋体" w:cs="宋体"/>
                <w:spacing w:val="-4"/>
                <w:kern w:val="0"/>
                <w:sz w:val="20"/>
                <w:szCs w:val="20"/>
              </w:rPr>
              <w:t>、</w:t>
            </w:r>
            <w:r>
              <w:rPr>
                <w:rFonts w:hint="eastAsia" w:ascii="Times New Roman" w:hAnsi="Times New Roman" w:eastAsia="宋体" w:cs="宋体"/>
                <w:spacing w:val="-4"/>
                <w:kern w:val="0"/>
                <w:sz w:val="20"/>
                <w:szCs w:val="20"/>
              </w:rPr>
              <w:t>ARWU</w:t>
            </w:r>
            <w:r>
              <w:rPr>
                <w:rFonts w:hint="eastAsia" w:ascii="宋体" w:hAnsi="宋体" w:eastAsia="宋体" w:cs="宋体"/>
                <w:spacing w:val="-4"/>
                <w:kern w:val="0"/>
                <w:sz w:val="20"/>
                <w:szCs w:val="20"/>
              </w:rPr>
              <w:t>、</w:t>
            </w:r>
            <w:r>
              <w:rPr>
                <w:rFonts w:hint="eastAsia" w:ascii="Times New Roman" w:hAnsi="Times New Roman" w:eastAsia="宋体" w:cs="宋体"/>
                <w:spacing w:val="-4"/>
                <w:kern w:val="0"/>
                <w:sz w:val="20"/>
                <w:szCs w:val="20"/>
              </w:rPr>
              <w:t>CWUR</w:t>
            </w:r>
            <w:r>
              <w:rPr>
                <w:rFonts w:hint="eastAsia" w:ascii="宋体" w:hAnsi="宋体" w:eastAsia="宋体" w:cs="宋体"/>
                <w:spacing w:val="-4"/>
                <w:kern w:val="0"/>
                <w:sz w:val="20"/>
                <w:szCs w:val="20"/>
              </w:rPr>
              <w:t>）前</w:t>
            </w:r>
            <w:r>
              <w:rPr>
                <w:rFonts w:hint="eastAsia" w:ascii="Times New Roman" w:hAnsi="Times New Roman" w:eastAsia="宋体" w:cs="宋体"/>
                <w:spacing w:val="-4"/>
                <w:kern w:val="0"/>
                <w:sz w:val="20"/>
                <w:szCs w:val="20"/>
              </w:rPr>
              <w:t>100</w:t>
            </w:r>
            <w:r>
              <w:rPr>
                <w:rFonts w:hint="eastAsia" w:ascii="宋体" w:hAnsi="宋体" w:eastAsia="宋体" w:cs="宋体"/>
                <w:spacing w:val="-4"/>
                <w:kern w:val="0"/>
                <w:sz w:val="20"/>
                <w:szCs w:val="20"/>
              </w:rPr>
              <w:t>名国（境）外高校的全日制硕士研究生及以上学历毕业生（本科须为第二轮“双一流”建设高校全日制毕业生）。</w:t>
            </w:r>
          </w:p>
          <w:p>
            <w:pPr>
              <w:widowControl/>
              <w:spacing w:line="240" w:lineRule="exact"/>
              <w:rPr>
                <w:rFonts w:ascii="宋体" w:hAnsi="宋体" w:eastAsia="宋体" w:cs="宋体"/>
                <w:kern w:val="0"/>
                <w:sz w:val="20"/>
                <w:szCs w:val="20"/>
              </w:rPr>
            </w:pPr>
            <w:r>
              <w:rPr>
                <w:rFonts w:hint="eastAsia" w:ascii="宋体" w:hAnsi="宋体" w:eastAsia="宋体" w:cs="宋体"/>
                <w:spacing w:val="-4"/>
                <w:kern w:val="0"/>
                <w:sz w:val="20"/>
                <w:szCs w:val="20"/>
              </w:rPr>
              <w:br w:type="page"/>
            </w:r>
            <w:r>
              <w:rPr>
                <w:rFonts w:hint="eastAsia" w:ascii="Times New Roman" w:hAnsi="Times New Roman" w:eastAsia="宋体" w:cs="宋体"/>
                <w:spacing w:val="-4"/>
                <w:kern w:val="0"/>
                <w:sz w:val="20"/>
                <w:szCs w:val="20"/>
              </w:rPr>
              <w:t>2</w:t>
            </w:r>
            <w:r>
              <w:rPr>
                <w:rFonts w:hint="eastAsia" w:ascii="宋体" w:hAnsi="宋体" w:eastAsia="宋体" w:cs="宋体"/>
                <w:spacing w:val="-4"/>
                <w:kern w:val="0"/>
                <w:sz w:val="20"/>
                <w:szCs w:val="20"/>
              </w:rPr>
              <w:t>.需经常出差,建议男性。</w:t>
            </w:r>
            <w:bookmarkStart w:id="0" w:name="_GoBack"/>
            <w:bookmarkEnd w:id="0"/>
          </w:p>
        </w:tc>
        <w:tc>
          <w:tcPr>
            <w:tcW w:w="504" w:type="pct"/>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报名网址：www.tzjob.com</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电子邮箱：tzgxdqzp@126.com</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咨询电话：1</w:t>
            </w:r>
            <w:r>
              <w:rPr>
                <w:rFonts w:hint="default" w:ascii="Times New Roman" w:hAnsi="Times New Roman" w:eastAsia="宋体" w:cs="Times New Roman"/>
                <w:color w:val="000000"/>
                <w:kern w:val="0"/>
                <w:sz w:val="20"/>
                <w:szCs w:val="20"/>
                <w:lang w:val="en-US" w:eastAsia="zh-CN"/>
              </w:rPr>
              <w:t>5850871309</w:t>
            </w:r>
          </w:p>
        </w:tc>
        <w:tc>
          <w:tcPr>
            <w:tcW w:w="182" w:type="pct"/>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Times New Roman" w:hAnsi="Times New Roman" w:eastAsia="宋体" w:cs="宋体"/>
                <w:kern w:val="0"/>
                <w:sz w:val="20"/>
                <w:szCs w:val="20"/>
              </w:rPr>
              <w:t>2</w:t>
            </w:r>
          </w:p>
        </w:tc>
        <w:tc>
          <w:tcPr>
            <w:tcW w:w="275" w:type="pct"/>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结构化面谈+无领导小组讨论</w:t>
            </w:r>
          </w:p>
        </w:tc>
        <w:tc>
          <w:tcPr>
            <w:tcW w:w="572" w:type="pct"/>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.工作前</w:t>
            </w:r>
            <w:r>
              <w:rPr>
                <w:rFonts w:ascii="Times New Roman" w:hAnsi="Times New Roman" w:eastAsia="宋体" w:cs="Times New Roman"/>
                <w:color w:val="000000"/>
                <w:kern w:val="0"/>
                <w:sz w:val="20"/>
                <w:szCs w:val="20"/>
              </w:rPr>
              <w:t>3</w:t>
            </w:r>
            <w:r>
              <w:rPr>
                <w:rFonts w:hint="eastAsia" w:ascii="宋体" w:hAnsi="宋体" w:eastAsia="宋体" w:cs="宋体"/>
                <w:color w:val="000000"/>
                <w:kern w:val="0"/>
                <w:sz w:val="20"/>
                <w:szCs w:val="20"/>
              </w:rPr>
              <w:t>年为培养锻炼期，培养锻炼期薪酬待遇一般高于</w:t>
            </w:r>
            <w:r>
              <w:rPr>
                <w:rFonts w:hint="eastAsia" w:ascii="宋体" w:hAnsi="宋体" w:eastAsia="宋体" w:cs="宋体"/>
                <w:color w:val="000000"/>
                <w:kern w:val="0"/>
                <w:sz w:val="20"/>
                <w:szCs w:val="20"/>
                <w:lang w:val="en-US" w:eastAsia="zh-CN"/>
              </w:rPr>
              <w:t>区本级</w:t>
            </w:r>
            <w:r>
              <w:rPr>
                <w:rFonts w:hint="eastAsia" w:ascii="宋体" w:hAnsi="宋体" w:eastAsia="宋体" w:cs="宋体"/>
                <w:color w:val="000000"/>
                <w:kern w:val="0"/>
                <w:sz w:val="20"/>
                <w:szCs w:val="20"/>
              </w:rPr>
              <w:t>同</w:t>
            </w:r>
            <w:r>
              <w:rPr>
                <w:rFonts w:hint="eastAsia" w:ascii="宋体" w:hAnsi="宋体" w:eastAsia="宋体" w:cs="宋体"/>
                <w:color w:val="000000"/>
                <w:kern w:val="0"/>
                <w:sz w:val="20"/>
                <w:szCs w:val="20"/>
                <w:lang w:val="en-US" w:eastAsia="zh-CN"/>
              </w:rPr>
              <w:t>类</w:t>
            </w:r>
            <w:r>
              <w:rPr>
                <w:rFonts w:hint="eastAsia" w:ascii="宋体" w:hAnsi="宋体" w:eastAsia="宋体" w:cs="宋体"/>
                <w:color w:val="000000"/>
                <w:kern w:val="0"/>
                <w:sz w:val="20"/>
                <w:szCs w:val="20"/>
              </w:rPr>
              <w:t>事业人员</w:t>
            </w:r>
            <w:r>
              <w:rPr>
                <w:rFonts w:ascii="Times New Roman" w:hAnsi="Times New Roman" w:eastAsia="宋体" w:cs="Times New Roman"/>
                <w:color w:val="000000"/>
                <w:kern w:val="0"/>
                <w:sz w:val="20"/>
                <w:szCs w:val="20"/>
              </w:rPr>
              <w:t>30%</w:t>
            </w:r>
            <w:r>
              <w:rPr>
                <w:rFonts w:hint="eastAsia" w:ascii="宋体" w:hAnsi="宋体" w:eastAsia="宋体" w:cs="宋体"/>
                <w:color w:val="000000"/>
                <w:kern w:val="0"/>
                <w:sz w:val="20"/>
                <w:szCs w:val="20"/>
              </w:rPr>
              <w:t>，培养锻炼期满后按照聘任岗位领取薪酬。</w:t>
            </w:r>
            <w:r>
              <w:rPr>
                <w:rFonts w:hint="eastAsia" w:ascii="宋体" w:hAnsi="宋体" w:eastAsia="宋体" w:cs="宋体"/>
                <w:color w:val="000000"/>
                <w:kern w:val="0"/>
                <w:sz w:val="20"/>
                <w:szCs w:val="20"/>
              </w:rPr>
              <w:br w:type="textWrapping"/>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.可申请享受企业引进高层次人才相关</w:t>
            </w:r>
            <w:r>
              <w:rPr>
                <w:rFonts w:hint="eastAsia" w:ascii="宋体" w:hAnsi="宋体" w:eastAsia="宋体" w:cs="宋体"/>
                <w:color w:val="000000"/>
                <w:kern w:val="0"/>
                <w:sz w:val="20"/>
                <w:szCs w:val="20"/>
                <w:lang w:val="en-US" w:eastAsia="zh-CN"/>
              </w:rPr>
              <w:t>补贴</w:t>
            </w:r>
            <w:r>
              <w:rPr>
                <w:rFonts w:hint="eastAsia" w:ascii="宋体" w:hAnsi="宋体" w:eastAsia="宋体" w:cs="宋体"/>
                <w:color w:val="000000"/>
                <w:kern w:val="0"/>
                <w:sz w:val="20"/>
                <w:szCs w:val="20"/>
              </w:rPr>
              <w:t>待遇。</w:t>
            </w:r>
          </w:p>
        </w:tc>
      </w:tr>
    </w:tbl>
    <w:p>
      <w:pPr>
        <w:widowControl/>
        <w:jc w:val="left"/>
      </w:pPr>
      <w:r>
        <w:br w:type="page"/>
      </w:r>
    </w:p>
    <w:p>
      <w:pPr>
        <w:rPr>
          <w:rFonts w:hint="eastAsia" w:ascii="黑体" w:hAnsi="黑体" w:eastAsia="黑体"/>
          <w:sz w:val="30"/>
          <w:szCs w:val="30"/>
        </w:rPr>
      </w:pPr>
    </w:p>
    <w:p>
      <w:pPr>
        <w:jc w:val="center"/>
        <w:rPr>
          <w:rFonts w:hint="eastAsia" w:ascii="方正小标宋_GBK" w:eastAsia="方正小标宋_GBK"/>
          <w:sz w:val="44"/>
          <w:szCs w:val="44"/>
        </w:rPr>
      </w:pPr>
      <w:r>
        <w:rPr>
          <w:rFonts w:hint="eastAsia" w:ascii="Times New Roman" w:hAnsi="Times New Roman" w:eastAsia="方正小标宋_GBK"/>
          <w:sz w:val="44"/>
          <w:szCs w:val="44"/>
        </w:rPr>
        <w:t>2024</w:t>
      </w:r>
      <w:r>
        <w:rPr>
          <w:rFonts w:hint="eastAsia" w:ascii="方正小标宋_GBK" w:eastAsia="方正小标宋_GBK"/>
          <w:sz w:val="44"/>
          <w:szCs w:val="44"/>
        </w:rPr>
        <w:t>年度泰州市青年人才选聘岗位简介表（教育类岗位）</w:t>
      </w:r>
    </w:p>
    <w:tbl>
      <w:tblPr>
        <w:tblStyle w:val="4"/>
        <w:tblW w:w="5074" w:type="pct"/>
        <w:jc w:val="center"/>
        <w:tblLayout w:type="fixed"/>
        <w:tblCellMar>
          <w:top w:w="0" w:type="dxa"/>
          <w:left w:w="108" w:type="dxa"/>
          <w:bottom w:w="0" w:type="dxa"/>
          <w:right w:w="108" w:type="dxa"/>
        </w:tblCellMar>
      </w:tblPr>
      <w:tblGrid>
        <w:gridCol w:w="878"/>
        <w:gridCol w:w="587"/>
        <w:gridCol w:w="974"/>
        <w:gridCol w:w="707"/>
        <w:gridCol w:w="1134"/>
        <w:gridCol w:w="569"/>
        <w:gridCol w:w="993"/>
        <w:gridCol w:w="2065"/>
        <w:gridCol w:w="2611"/>
        <w:gridCol w:w="1702"/>
        <w:gridCol w:w="569"/>
        <w:gridCol w:w="851"/>
        <w:gridCol w:w="1724"/>
      </w:tblGrid>
      <w:tr>
        <w:tblPrEx>
          <w:tblCellMar>
            <w:top w:w="0" w:type="dxa"/>
            <w:left w:w="108" w:type="dxa"/>
            <w:bottom w:w="0" w:type="dxa"/>
            <w:right w:w="108" w:type="dxa"/>
          </w:tblCellMar>
        </w:tblPrEx>
        <w:trPr>
          <w:trHeight w:val="340" w:hRule="atLeast"/>
          <w:tblHeader/>
          <w:jc w:val="center"/>
        </w:trPr>
        <w:tc>
          <w:tcPr>
            <w:tcW w:w="285" w:type="pct"/>
            <w:vMerge w:val="restart"/>
            <w:tcBorders>
              <w:top w:val="single" w:color="auto" w:sz="8"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地区</w:t>
            </w:r>
            <w:r>
              <w:rPr>
                <w:rFonts w:ascii="Times New Roman" w:hAnsi="Times New Roman" w:eastAsia="宋体" w:cs="Times New Roman"/>
                <w:b/>
                <w:bCs/>
                <w:color w:val="000000"/>
                <w:kern w:val="0"/>
                <w:sz w:val="20"/>
                <w:szCs w:val="20"/>
              </w:rPr>
              <w:br w:type="textWrapping"/>
            </w:r>
            <w:r>
              <w:rPr>
                <w:rFonts w:hint="eastAsia" w:ascii="宋体" w:hAnsi="宋体" w:eastAsia="宋体" w:cs="宋体"/>
                <w:b/>
                <w:bCs/>
                <w:color w:val="000000"/>
                <w:kern w:val="0"/>
                <w:sz w:val="20"/>
                <w:szCs w:val="20"/>
              </w:rPr>
              <w:t>名称</w:t>
            </w:r>
          </w:p>
        </w:tc>
        <w:tc>
          <w:tcPr>
            <w:tcW w:w="508" w:type="pct"/>
            <w:gridSpan w:val="2"/>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选聘单位</w:t>
            </w:r>
          </w:p>
        </w:tc>
        <w:tc>
          <w:tcPr>
            <w:tcW w:w="599" w:type="pct"/>
            <w:gridSpan w:val="2"/>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选聘岗位</w:t>
            </w:r>
          </w:p>
        </w:tc>
        <w:tc>
          <w:tcPr>
            <w:tcW w:w="185"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w:t>
            </w:r>
            <w:r>
              <w:rPr>
                <w:rFonts w:ascii="Times New Roman" w:hAnsi="Times New Roman" w:eastAsia="宋体" w:cs="Times New Roman"/>
                <w:b/>
                <w:bCs/>
                <w:color w:val="000000"/>
                <w:kern w:val="0"/>
                <w:sz w:val="20"/>
                <w:szCs w:val="20"/>
              </w:rPr>
              <w:br w:type="textWrapping"/>
            </w:r>
            <w:r>
              <w:rPr>
                <w:rFonts w:ascii="Times New Roman" w:hAnsi="Times New Roman" w:eastAsia="宋体" w:cs="Times New Roman"/>
                <w:b/>
                <w:bCs/>
                <w:color w:val="000000"/>
                <w:kern w:val="0"/>
                <w:sz w:val="20"/>
                <w:szCs w:val="20"/>
              </w:rPr>
              <w:t>人数</w:t>
            </w:r>
          </w:p>
        </w:tc>
        <w:tc>
          <w:tcPr>
            <w:tcW w:w="1844" w:type="pct"/>
            <w:gridSpan w:val="3"/>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选聘条件</w:t>
            </w:r>
          </w:p>
        </w:tc>
        <w:tc>
          <w:tcPr>
            <w:tcW w:w="553"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rPr>
              <w:t>联系方式</w:t>
            </w:r>
          </w:p>
        </w:tc>
        <w:tc>
          <w:tcPr>
            <w:tcW w:w="185"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开考</w:t>
            </w:r>
          </w:p>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比例</w:t>
            </w:r>
          </w:p>
        </w:tc>
        <w:tc>
          <w:tcPr>
            <w:tcW w:w="276"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考试</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形式</w:t>
            </w:r>
          </w:p>
        </w:tc>
        <w:tc>
          <w:tcPr>
            <w:tcW w:w="561" w:type="pct"/>
            <w:vMerge w:val="restart"/>
            <w:tcBorders>
              <w:top w:val="single" w:color="auto" w:sz="8"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优惠政策</w:t>
            </w:r>
          </w:p>
        </w:tc>
      </w:tr>
      <w:tr>
        <w:tblPrEx>
          <w:tblCellMar>
            <w:top w:w="0" w:type="dxa"/>
            <w:left w:w="108" w:type="dxa"/>
            <w:bottom w:w="0" w:type="dxa"/>
            <w:right w:w="108" w:type="dxa"/>
          </w:tblCellMar>
        </w:tblPrEx>
        <w:trPr>
          <w:trHeight w:val="340" w:hRule="atLeast"/>
          <w:tblHeader/>
          <w:jc w:val="center"/>
        </w:trPr>
        <w:tc>
          <w:tcPr>
            <w:tcW w:w="285" w:type="pct"/>
            <w:vMerge w:val="continue"/>
            <w:tcBorders>
              <w:top w:val="single" w:color="auto" w:sz="4" w:space="0"/>
              <w:left w:val="single" w:color="auto" w:sz="8"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b/>
                <w:bCs/>
                <w:color w:val="000000"/>
                <w:kern w:val="0"/>
                <w:sz w:val="20"/>
                <w:szCs w:val="20"/>
              </w:rPr>
            </w:pP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hint="eastAsia" w:ascii="宋体" w:hAnsi="宋体" w:eastAsia="宋体" w:cs="Times New Roman"/>
                <w:b/>
                <w:bCs/>
                <w:color w:val="000000"/>
                <w:kern w:val="0"/>
                <w:sz w:val="20"/>
                <w:szCs w:val="20"/>
              </w:rPr>
              <w:t>单位</w:t>
            </w:r>
            <w:r>
              <w:rPr>
                <w:rFonts w:hint="eastAsia" w:ascii="宋体" w:hAnsi="宋体" w:eastAsia="宋体" w:cs="Times New Roman"/>
                <w:b/>
                <w:bCs/>
                <w:color w:val="000000"/>
                <w:kern w:val="0"/>
                <w:sz w:val="20"/>
                <w:szCs w:val="20"/>
              </w:rPr>
              <w:br w:type="textWrapping"/>
            </w:r>
            <w:r>
              <w:rPr>
                <w:rFonts w:hint="eastAsia" w:ascii="宋体" w:hAnsi="宋体" w:eastAsia="宋体" w:cs="Times New Roman"/>
                <w:b/>
                <w:bCs/>
                <w:color w:val="000000"/>
                <w:kern w:val="0"/>
                <w:sz w:val="20"/>
                <w:szCs w:val="20"/>
              </w:rPr>
              <w:t>代码</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单位</w:t>
            </w:r>
          </w:p>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全称</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hint="eastAsia" w:ascii="宋体" w:hAnsi="宋体" w:eastAsia="宋体" w:cs="Times New Roman"/>
                <w:b/>
                <w:bCs/>
                <w:color w:val="000000"/>
                <w:kern w:val="0"/>
                <w:sz w:val="20"/>
                <w:szCs w:val="20"/>
              </w:rPr>
              <w:t>岗位</w:t>
            </w:r>
            <w:r>
              <w:rPr>
                <w:rFonts w:hint="eastAsia" w:ascii="宋体" w:hAnsi="宋体" w:eastAsia="宋体" w:cs="Times New Roman"/>
                <w:b/>
                <w:bCs/>
                <w:color w:val="000000"/>
                <w:kern w:val="0"/>
                <w:sz w:val="20"/>
                <w:szCs w:val="20"/>
              </w:rPr>
              <w:br w:type="textWrapping"/>
            </w:r>
            <w:r>
              <w:rPr>
                <w:rFonts w:hint="eastAsia" w:ascii="宋体" w:hAnsi="宋体" w:eastAsia="宋体" w:cs="Times New Roman"/>
                <w:b/>
                <w:bCs/>
                <w:color w:val="000000"/>
                <w:kern w:val="0"/>
                <w:sz w:val="20"/>
                <w:szCs w:val="20"/>
              </w:rPr>
              <w:t>代码</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岗位</w:t>
            </w:r>
          </w:p>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名称</w:t>
            </w: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b/>
                <w:bCs/>
                <w:color w:val="000000"/>
                <w:kern w:val="0"/>
                <w:sz w:val="20"/>
                <w:szCs w:val="20"/>
              </w:rPr>
            </w:pP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学历</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专业</w:t>
            </w:r>
          </w:p>
        </w:tc>
        <w:tc>
          <w:tcPr>
            <w:tcW w:w="84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其他条件</w:t>
            </w: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b/>
                <w:bCs/>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b/>
                <w:bCs/>
                <w:color w:val="000000"/>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b/>
                <w:bCs/>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1</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机械工程类、机电控制类、汽车工程类</w:t>
            </w:r>
          </w:p>
        </w:tc>
        <w:tc>
          <w:tcPr>
            <w:tcW w:w="849" w:type="pct"/>
            <w:vMerge w:val="restar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restar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报名网址：http://rczp.tzpc.edu.cn</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电子邮箱：tzyrsc@126.com</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咨询电话：0523-86664005</w:t>
            </w:r>
          </w:p>
        </w:tc>
        <w:tc>
          <w:tcPr>
            <w:tcW w:w="185" w:type="pct"/>
            <w:vMerge w:val="restar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276" w:type="pct"/>
            <w:vMerge w:val="restar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试讲+</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面试</w:t>
            </w:r>
          </w:p>
        </w:tc>
        <w:tc>
          <w:tcPr>
            <w:tcW w:w="561" w:type="pct"/>
            <w:vMerge w:val="restart"/>
            <w:tcBorders>
              <w:top w:val="single" w:color="auto" w:sz="4" w:space="0"/>
              <w:left w:val="single" w:color="auto" w:sz="4" w:space="0"/>
              <w:bottom w:val="single" w:color="auto" w:sz="8" w:space="0"/>
              <w:right w:val="single" w:color="auto" w:sz="8"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纳入人员总量管理</w:t>
            </w: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2</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土木建筑类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3</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口腔医学类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4</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护理类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5</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信息工程类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6</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广告设计、艺术设计类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7</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药物制剂类、中药类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8</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英语类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4"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9</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数学类</w:t>
            </w:r>
          </w:p>
        </w:tc>
        <w:tc>
          <w:tcPr>
            <w:tcW w:w="849" w:type="pct"/>
            <w:vMerge w:val="continue"/>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0" w:hRule="atLeast"/>
          <w:jc w:val="center"/>
        </w:trPr>
        <w:tc>
          <w:tcPr>
            <w:tcW w:w="285" w:type="pct"/>
            <w:tcBorders>
              <w:top w:val="single" w:color="auto" w:sz="4" w:space="0"/>
              <w:left w:val="single" w:color="auto" w:sz="8"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10</w:t>
            </w:r>
          </w:p>
        </w:tc>
        <w:tc>
          <w:tcPr>
            <w:tcW w:w="369"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2</w:t>
            </w:r>
          </w:p>
        </w:tc>
        <w:tc>
          <w:tcPr>
            <w:tcW w:w="323"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财经商贸类、旅游管理类</w:t>
            </w:r>
          </w:p>
        </w:tc>
        <w:tc>
          <w:tcPr>
            <w:tcW w:w="849" w:type="pct"/>
            <w:vMerge w:val="continue"/>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vMerge w:val="continue"/>
            <w:tcBorders>
              <w:top w:val="single" w:color="auto" w:sz="8"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p>
        </w:tc>
        <w:tc>
          <w:tcPr>
            <w:tcW w:w="185"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276" w:type="pct"/>
            <w:vMerge w:val="continue"/>
            <w:tcBorders>
              <w:top w:val="single" w:color="auto" w:sz="8"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61" w:type="pct"/>
            <w:vMerge w:val="continue"/>
            <w:tcBorders>
              <w:top w:val="single" w:color="auto" w:sz="8"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18" w:hRule="atLeast"/>
          <w:jc w:val="center"/>
        </w:trPr>
        <w:tc>
          <w:tcPr>
            <w:tcW w:w="285" w:type="pct"/>
            <w:tcBorders>
              <w:top w:val="single" w:color="auto" w:sz="8"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p>
        </w:tc>
        <w:tc>
          <w:tcPr>
            <w:tcW w:w="316"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泰州职业技术学院</w:t>
            </w:r>
          </w:p>
        </w:tc>
        <w:tc>
          <w:tcPr>
            <w:tcW w:w="230"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1C</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11</w:t>
            </w:r>
          </w:p>
        </w:tc>
        <w:tc>
          <w:tcPr>
            <w:tcW w:w="369"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从事教学及科研工作</w:t>
            </w:r>
          </w:p>
        </w:tc>
        <w:tc>
          <w:tcPr>
            <w:tcW w:w="185"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15</w:t>
            </w:r>
          </w:p>
        </w:tc>
        <w:tc>
          <w:tcPr>
            <w:tcW w:w="323"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博士</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研究生</w:t>
            </w:r>
          </w:p>
        </w:tc>
        <w:tc>
          <w:tcPr>
            <w:tcW w:w="672"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临床医学、口腔医学类、机械工程类、汽车工程类、智能制造类、信息技术类、计算机类、药物制剂类、经济管理类、建筑工程类、艺术设计类</w:t>
            </w:r>
          </w:p>
        </w:tc>
        <w:tc>
          <w:tcPr>
            <w:tcW w:w="849"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p>
        </w:tc>
        <w:tc>
          <w:tcPr>
            <w:tcW w:w="553"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报名网址：http://rczp.tzpc.edu.cn</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电子邮箱：tzyrsc@126.com</w:t>
            </w:r>
            <w:r>
              <w:rPr>
                <w:rFonts w:hint="default" w:ascii="Times New Roman" w:hAnsi="Times New Roman" w:eastAsia="宋体" w:cs="Times New Roman"/>
                <w:color w:val="000000"/>
                <w:kern w:val="0"/>
                <w:sz w:val="20"/>
                <w:szCs w:val="20"/>
              </w:rPr>
              <w:br w:type="textWrapping"/>
            </w:r>
            <w:r>
              <w:rPr>
                <w:rFonts w:hint="default" w:ascii="Times New Roman" w:hAnsi="Times New Roman" w:eastAsia="宋体" w:cs="Times New Roman"/>
                <w:color w:val="000000"/>
                <w:kern w:val="0"/>
                <w:sz w:val="20"/>
                <w:szCs w:val="20"/>
              </w:rPr>
              <w:t>咨询电话：0523-86664005</w:t>
            </w:r>
          </w:p>
        </w:tc>
        <w:tc>
          <w:tcPr>
            <w:tcW w:w="185"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w:t>
            </w:r>
          </w:p>
        </w:tc>
        <w:tc>
          <w:tcPr>
            <w:tcW w:w="276"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学术</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汇报</w:t>
            </w:r>
          </w:p>
        </w:tc>
        <w:tc>
          <w:tcPr>
            <w:tcW w:w="561" w:type="pct"/>
            <w:tcBorders>
              <w:top w:val="single" w:color="auto" w:sz="8"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numPr>
                <w:ilvl w:val="0"/>
                <w:numId w:val="0"/>
              </w:numPr>
              <w:spacing w:line="240" w:lineRule="exac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bidi="ar-SA"/>
              </w:rPr>
              <w:t>1.</w:t>
            </w:r>
            <w:r>
              <w:rPr>
                <w:rFonts w:hint="eastAsia" w:ascii="宋体" w:hAnsi="宋体" w:eastAsia="宋体" w:cs="宋体"/>
                <w:color w:val="000000"/>
                <w:kern w:val="0"/>
                <w:sz w:val="20"/>
                <w:szCs w:val="20"/>
              </w:rPr>
              <w:t>纳入人员总量管理</w:t>
            </w:r>
            <w:r>
              <w:rPr>
                <w:rFonts w:hint="eastAsia" w:ascii="宋体" w:hAnsi="宋体" w:eastAsia="宋体" w:cs="宋体"/>
                <w:color w:val="000000"/>
                <w:kern w:val="0"/>
                <w:sz w:val="20"/>
                <w:szCs w:val="20"/>
                <w:lang w:eastAsia="zh-CN"/>
              </w:rPr>
              <w:t>；</w:t>
            </w:r>
          </w:p>
          <w:p>
            <w:pPr>
              <w:widowControl/>
              <w:numPr>
                <w:ilvl w:val="0"/>
                <w:numId w:val="0"/>
              </w:numPr>
              <w:spacing w:line="240" w:lineRule="exact"/>
              <w:rPr>
                <w:rFonts w:ascii="宋体" w:hAnsi="宋体" w:eastAsia="宋体" w:cs="宋体"/>
                <w:color w:val="000000"/>
                <w:kern w:val="0"/>
                <w:sz w:val="20"/>
                <w:szCs w:val="20"/>
              </w:rPr>
            </w:pPr>
            <w:r>
              <w:rPr>
                <w:rFonts w:ascii="宋体" w:hAnsi="宋体" w:eastAsia="宋体" w:cs="宋体"/>
                <w:color w:val="000000"/>
                <w:kern w:val="0"/>
                <w:sz w:val="20"/>
                <w:szCs w:val="20"/>
                <w:lang w:val="en-US" w:eastAsia="zh-CN" w:bidi="ar-SA"/>
              </w:rPr>
              <w:t>2.</w:t>
            </w:r>
            <w:r>
              <w:rPr>
                <w:rFonts w:hint="eastAsia" w:ascii="宋体" w:hAnsi="宋体" w:eastAsia="宋体" w:cs="宋体"/>
                <w:color w:val="000000"/>
                <w:kern w:val="0"/>
                <w:sz w:val="20"/>
                <w:szCs w:val="20"/>
              </w:rPr>
              <w:t>安家费和购房补贴</w:t>
            </w:r>
            <w:r>
              <w:rPr>
                <w:rFonts w:hint="eastAsia" w:ascii="Times New Roman" w:hAnsi="Times New Roman" w:eastAsia="宋体" w:cs="宋体"/>
                <w:color w:val="000000"/>
                <w:kern w:val="0"/>
                <w:sz w:val="20"/>
                <w:szCs w:val="20"/>
              </w:rPr>
              <w:t>30</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60</w:t>
            </w:r>
            <w:r>
              <w:rPr>
                <w:rFonts w:hint="eastAsia" w:ascii="Times New Roman" w:hAnsi="Times New Roman" w:eastAsia="宋体" w:cs="宋体"/>
                <w:color w:val="000000"/>
                <w:kern w:val="0"/>
                <w:sz w:val="20"/>
                <w:szCs w:val="20"/>
                <w:lang w:val="en-US" w:eastAsia="zh-CN"/>
              </w:rPr>
              <w:t>万元</w:t>
            </w:r>
            <w:r>
              <w:rPr>
                <w:rFonts w:hint="eastAsia" w:ascii="宋体" w:hAnsi="宋体" w:eastAsia="宋体" w:cs="宋体"/>
                <w:color w:val="000000"/>
                <w:kern w:val="0"/>
                <w:sz w:val="20"/>
                <w:szCs w:val="20"/>
              </w:rPr>
              <w:t>，科研启动经费</w:t>
            </w:r>
            <w:r>
              <w:rPr>
                <w:rFonts w:hint="eastAsia" w:ascii="Times New Roman" w:hAnsi="Times New Roman" w:eastAsia="宋体" w:cs="宋体"/>
                <w:color w:val="000000"/>
                <w:kern w:val="0"/>
                <w:sz w:val="20"/>
                <w:szCs w:val="20"/>
              </w:rPr>
              <w:t>5</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10</w:t>
            </w:r>
            <w:r>
              <w:rPr>
                <w:rFonts w:hint="eastAsia" w:ascii="Times New Roman" w:hAnsi="Times New Roman" w:eastAsia="宋体" w:cs="宋体"/>
                <w:color w:val="000000"/>
                <w:kern w:val="0"/>
                <w:sz w:val="20"/>
                <w:szCs w:val="20"/>
                <w:lang w:val="en-US" w:eastAsia="zh-CN"/>
              </w:rPr>
              <w:t>万元</w:t>
            </w:r>
            <w:r>
              <w:rPr>
                <w:rFonts w:hint="eastAsia" w:ascii="宋体" w:hAnsi="宋体" w:eastAsia="宋体" w:cs="宋体"/>
                <w:color w:val="000000"/>
                <w:kern w:val="0"/>
                <w:sz w:val="20"/>
                <w:szCs w:val="20"/>
              </w:rPr>
              <w:t>；学院提供校内过渡住房一套（三年），或每年发放租房补贴</w:t>
            </w: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w:t>
            </w:r>
            <w:r>
              <w:rPr>
                <w:rFonts w:hint="eastAsia" w:ascii="Times New Roman" w:hAnsi="Times New Roman" w:eastAsia="宋体" w:cs="宋体"/>
                <w:color w:val="000000"/>
                <w:kern w:val="0"/>
                <w:sz w:val="20"/>
                <w:szCs w:val="20"/>
              </w:rPr>
              <w:t>5</w:t>
            </w:r>
            <w:r>
              <w:rPr>
                <w:rFonts w:hint="eastAsia" w:ascii="宋体" w:hAnsi="宋体" w:eastAsia="宋体" w:cs="宋体"/>
                <w:color w:val="000000"/>
                <w:kern w:val="0"/>
                <w:sz w:val="20"/>
                <w:szCs w:val="20"/>
              </w:rPr>
              <w:t>万</w:t>
            </w:r>
            <w:r>
              <w:rPr>
                <w:rFonts w:hint="eastAsia" w:ascii="宋体" w:hAnsi="宋体" w:eastAsia="宋体" w:cs="宋体"/>
                <w:color w:val="000000"/>
                <w:kern w:val="0"/>
                <w:sz w:val="20"/>
                <w:szCs w:val="20"/>
                <w:lang w:val="en-US" w:eastAsia="zh-CN"/>
              </w:rPr>
              <w:t>元</w:t>
            </w:r>
            <w:r>
              <w:rPr>
                <w:rFonts w:hint="eastAsia" w:ascii="宋体" w:hAnsi="宋体" w:eastAsia="宋体" w:cs="宋体"/>
                <w:color w:val="000000"/>
                <w:kern w:val="0"/>
                <w:sz w:val="20"/>
                <w:szCs w:val="20"/>
              </w:rPr>
              <w:t>（三年）。</w:t>
            </w:r>
          </w:p>
        </w:tc>
      </w:tr>
      <w:tr>
        <w:tblPrEx>
          <w:tblCellMar>
            <w:top w:w="0" w:type="dxa"/>
            <w:left w:w="108" w:type="dxa"/>
            <w:bottom w:w="0" w:type="dxa"/>
            <w:right w:w="108" w:type="dxa"/>
          </w:tblCellMar>
        </w:tblPrEx>
        <w:trPr>
          <w:trHeight w:val="2645"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泰州中学</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2C-1</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高中化学竞赛教练</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化学相关专业</w:t>
            </w:r>
          </w:p>
        </w:tc>
        <w:tc>
          <w:tcPr>
            <w:tcW w:w="849" w:type="pct"/>
            <w:vMerge w:val="restar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w:t>
            </w:r>
            <w:r>
              <w:rPr>
                <w:rFonts w:hint="eastAsia" w:ascii="宋体" w:hAnsi="宋体" w:eastAsia="宋体" w:cs="宋体"/>
                <w:kern w:val="0"/>
                <w:sz w:val="20"/>
                <w:szCs w:val="20"/>
              </w:rPr>
              <w:t>毕业院校限定下列高校：北京大学、清华大学、复旦大学、上海交通大学、南京大学、浙江大学、中国科学技术大学、哈尔滨工业大学、西安交通大学。</w:t>
            </w:r>
            <w:r>
              <w:rPr>
                <w:rFonts w:ascii="Times New Roman" w:hAnsi="Times New Roman" w:eastAsia="宋体" w:cs="Times New Roman"/>
                <w:kern w:val="0"/>
                <w:sz w:val="20"/>
                <w:szCs w:val="20"/>
              </w:rPr>
              <w:br w:type="textWrapping"/>
            </w:r>
            <w:r>
              <w:rPr>
                <w:rFonts w:hint="eastAsia" w:ascii="宋体" w:hAnsi="宋体" w:eastAsia="宋体" w:cs="宋体"/>
                <w:kern w:val="0"/>
                <w:sz w:val="20"/>
                <w:szCs w:val="20"/>
              </w:rPr>
              <w:t>研究生学历的应聘人员本科阶段须为国内</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双一流</w:t>
            </w:r>
            <w:r>
              <w:rPr>
                <w:rFonts w:hint="eastAsia" w:ascii="Times New Roman" w:hAnsi="Times New Roman" w:eastAsia="宋体" w:cs="Times New Roman"/>
                <w:kern w:val="0"/>
                <w:sz w:val="20"/>
                <w:szCs w:val="20"/>
              </w:rPr>
              <w:t>”</w:t>
            </w:r>
            <w:r>
              <w:rPr>
                <w:rFonts w:hint="eastAsia" w:ascii="宋体" w:hAnsi="宋体" w:eastAsia="宋体" w:cs="宋体"/>
                <w:kern w:val="0"/>
                <w:sz w:val="20"/>
                <w:szCs w:val="20"/>
              </w:rPr>
              <w:t>建设高校毕业生且所学专业符合应聘岗位专业要求。</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w:t>
            </w:r>
            <w:r>
              <w:rPr>
                <w:rFonts w:hint="eastAsia" w:ascii="宋体" w:hAnsi="宋体" w:eastAsia="宋体" w:cs="宋体"/>
                <w:kern w:val="0"/>
                <w:sz w:val="20"/>
                <w:szCs w:val="20"/>
              </w:rPr>
              <w:t>具有《教师资格条例》规定的相应教师资格证书（如报名时暂未取得教师资格证书，须在办理聘用手续前提供相应教师资格证书）。</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w:t>
            </w:r>
            <w:r>
              <w:rPr>
                <w:rFonts w:hint="eastAsia" w:ascii="宋体" w:hAnsi="宋体" w:eastAsia="宋体" w:cs="宋体"/>
                <w:kern w:val="0"/>
                <w:sz w:val="20"/>
                <w:szCs w:val="20"/>
              </w:rPr>
              <w:t>有一定的学科竞赛基础，能胜任高中学科竞赛教学工作和创新人才培养课程的教学工作。</w:t>
            </w:r>
          </w:p>
        </w:tc>
        <w:tc>
          <w:tcPr>
            <w:tcW w:w="553" w:type="pct"/>
            <w:vMerge w:val="restar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 xml:space="preserve">报名网址：https://www.wjx.top/vm/tTRowyx.aspx# </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电子邮箱：stzzxzp@163.com；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咨询电话：15850858006，0523-80102020。</w:t>
            </w:r>
          </w:p>
        </w:tc>
        <w:tc>
          <w:tcPr>
            <w:tcW w:w="185" w:type="pct"/>
            <w:vMerge w:val="restar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笔试+面试（模拟上课和答辩）</w:t>
            </w:r>
          </w:p>
        </w:tc>
        <w:tc>
          <w:tcPr>
            <w:tcW w:w="561" w:type="pct"/>
            <w:vMerge w:val="restart"/>
            <w:tcBorders>
              <w:top w:val="single" w:color="auto" w:sz="4"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spacing w:line="240" w:lineRule="exac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符合泰州市高层次人才条件的根据泰州市高层次人才引进的相关政策，给予有关补贴</w:t>
            </w:r>
            <w:r>
              <w:rPr>
                <w:rFonts w:hint="eastAsia" w:ascii="宋体" w:hAnsi="宋体" w:eastAsia="宋体" w:cs="宋体"/>
                <w:color w:val="000000"/>
                <w:kern w:val="0"/>
                <w:sz w:val="20"/>
                <w:szCs w:val="20"/>
                <w:lang w:val="en-US" w:eastAsia="zh-CN"/>
              </w:rPr>
              <w:t>;</w:t>
            </w:r>
            <w:r>
              <w:rPr>
                <w:rFonts w:ascii="Times New Roman" w:hAnsi="Times New Roman" w:eastAsia="宋体" w:cs="Times New Roman"/>
                <w:color w:val="000000"/>
                <w:kern w:val="0"/>
                <w:sz w:val="20"/>
                <w:szCs w:val="20"/>
              </w:rPr>
              <w:br w:type="textWrapping"/>
            </w:r>
            <w:r>
              <w:rPr>
                <w:rFonts w:hint="eastAsia" w:ascii="Times New Roman" w:hAnsi="Times New Roman" w:eastAsia="宋体" w:cs="Times New Roman"/>
                <w:color w:val="000000"/>
                <w:kern w:val="0"/>
                <w:sz w:val="20"/>
                <w:szCs w:val="20"/>
                <w:lang w:val="en-US" w:eastAsia="zh-CN"/>
              </w:rPr>
              <w:t>2.</w:t>
            </w:r>
            <w:r>
              <w:rPr>
                <w:rFonts w:hint="eastAsia" w:ascii="宋体" w:hAnsi="宋体" w:eastAsia="宋体" w:cs="宋体"/>
                <w:color w:val="000000"/>
                <w:kern w:val="0"/>
                <w:sz w:val="20"/>
                <w:szCs w:val="20"/>
              </w:rPr>
              <w:t>聘用人员工资待遇实行目标年薪制，目标年薪为</w:t>
            </w:r>
            <w:r>
              <w:rPr>
                <w:rFonts w:ascii="Times New Roman" w:hAnsi="Times New Roman" w:eastAsia="宋体" w:cs="Times New Roman"/>
                <w:color w:val="000000"/>
                <w:kern w:val="0"/>
                <w:sz w:val="20"/>
                <w:szCs w:val="20"/>
              </w:rPr>
              <w:t>30-50</w:t>
            </w:r>
            <w:r>
              <w:rPr>
                <w:rFonts w:hint="eastAsia" w:ascii="宋体" w:hAnsi="宋体" w:eastAsia="宋体" w:cs="宋体"/>
                <w:color w:val="000000"/>
                <w:kern w:val="0"/>
                <w:sz w:val="20"/>
                <w:szCs w:val="20"/>
              </w:rPr>
              <w:t>万元，特别优秀者目标年薪可以面议。</w:t>
            </w:r>
          </w:p>
        </w:tc>
      </w:tr>
      <w:tr>
        <w:tblPrEx>
          <w:tblCellMar>
            <w:top w:w="0" w:type="dxa"/>
            <w:left w:w="108" w:type="dxa"/>
            <w:bottom w:w="0" w:type="dxa"/>
            <w:right w:w="108" w:type="dxa"/>
          </w:tblCellMar>
        </w:tblPrEx>
        <w:trPr>
          <w:trHeight w:val="2641" w:hRule="atLeast"/>
          <w:jc w:val="center"/>
        </w:trPr>
        <w:tc>
          <w:tcPr>
            <w:tcW w:w="285" w:type="pct"/>
            <w:tcBorders>
              <w:top w:val="single" w:color="auto" w:sz="4" w:space="0"/>
              <w:left w:val="single" w:color="auto" w:sz="8"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泰州市</w:t>
            </w:r>
          </w:p>
        </w:tc>
        <w:tc>
          <w:tcPr>
            <w:tcW w:w="191"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2C </w:t>
            </w:r>
          </w:p>
        </w:tc>
        <w:tc>
          <w:tcPr>
            <w:tcW w:w="316"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泰州中学</w:t>
            </w:r>
          </w:p>
        </w:tc>
        <w:tc>
          <w:tcPr>
            <w:tcW w:w="230"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2C-2</w:t>
            </w:r>
          </w:p>
        </w:tc>
        <w:tc>
          <w:tcPr>
            <w:tcW w:w="369"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高中生物竞赛教练</w:t>
            </w:r>
          </w:p>
        </w:tc>
        <w:tc>
          <w:tcPr>
            <w:tcW w:w="185"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及以上</w:t>
            </w:r>
          </w:p>
        </w:tc>
        <w:tc>
          <w:tcPr>
            <w:tcW w:w="672"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生物相关专业</w:t>
            </w:r>
          </w:p>
        </w:tc>
        <w:tc>
          <w:tcPr>
            <w:tcW w:w="849"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c>
          <w:tcPr>
            <w:tcW w:w="553"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041" w:hRule="atLeast"/>
          <w:jc w:val="center"/>
        </w:trPr>
        <w:tc>
          <w:tcPr>
            <w:tcW w:w="285" w:type="pct"/>
            <w:tcBorders>
              <w:top w:val="single" w:color="auto" w:sz="8"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靖江市</w:t>
            </w:r>
          </w:p>
        </w:tc>
        <w:tc>
          <w:tcPr>
            <w:tcW w:w="191"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w:t>
            </w:r>
          </w:p>
        </w:tc>
        <w:tc>
          <w:tcPr>
            <w:tcW w:w="316"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靖江中学</w:t>
            </w:r>
          </w:p>
        </w:tc>
        <w:tc>
          <w:tcPr>
            <w:tcW w:w="230"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3C-1</w:t>
            </w:r>
          </w:p>
        </w:tc>
        <w:tc>
          <w:tcPr>
            <w:tcW w:w="369"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从事高中数学教学及管理工作</w:t>
            </w:r>
          </w:p>
        </w:tc>
        <w:tc>
          <w:tcPr>
            <w:tcW w:w="185"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672"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9"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应具备以下条件之一：</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1</w:t>
            </w:r>
            <w:r>
              <w:rPr>
                <w:rFonts w:hint="eastAsia" w:ascii="宋体" w:hAnsi="宋体" w:eastAsia="宋体" w:cs="宋体"/>
                <w:kern w:val="0"/>
                <w:sz w:val="20"/>
                <w:szCs w:val="20"/>
              </w:rPr>
              <w:t>.第一轮“一流大学”建设高校全日制本科毕业生；</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2</w:t>
            </w:r>
            <w:r>
              <w:rPr>
                <w:rFonts w:hint="eastAsia" w:ascii="宋体" w:hAnsi="宋体" w:eastAsia="宋体" w:cs="宋体"/>
                <w:kern w:val="0"/>
                <w:sz w:val="20"/>
                <w:szCs w:val="20"/>
              </w:rPr>
              <w:t>.第一轮“一流大学”建设高校、第二轮“双一流”建设高校全日制硕士研究生及以上学历毕业生（本科须为第二轮“双一流”建设高校全日制毕业生）。</w:t>
            </w:r>
          </w:p>
        </w:tc>
        <w:tc>
          <w:tcPr>
            <w:tcW w:w="553"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xml:space="preserve">电子邮箱：jyj89118221@sina.com </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咨询电话：0523-89118221</w:t>
            </w:r>
          </w:p>
        </w:tc>
        <w:tc>
          <w:tcPr>
            <w:tcW w:w="185"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Times New Roman" w:hAnsi="Times New Roman" w:eastAsia="宋体" w:cs="宋体"/>
                <w:kern w:val="0"/>
                <w:sz w:val="20"/>
                <w:szCs w:val="20"/>
              </w:rPr>
              <w:t>3</w:t>
            </w:r>
          </w:p>
        </w:tc>
        <w:tc>
          <w:tcPr>
            <w:tcW w:w="276"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面试：模拟上课、答辩、专业技能测试</w:t>
            </w:r>
          </w:p>
        </w:tc>
        <w:tc>
          <w:tcPr>
            <w:tcW w:w="561" w:type="pct"/>
            <w:vMerge w:val="restart"/>
            <w:tcBorders>
              <w:top w:val="single" w:color="auto" w:sz="8"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根据《“马洲英才计划”教育人才引进培育管理实施办法》，符合条件的博士研究生每人发放</w:t>
            </w:r>
            <w:r>
              <w:rPr>
                <w:rFonts w:hint="eastAsia" w:ascii="Times New Roman" w:hAnsi="Times New Roman" w:eastAsia="宋体" w:cs="宋体"/>
                <w:color w:val="000000"/>
                <w:kern w:val="0"/>
                <w:sz w:val="20"/>
                <w:szCs w:val="20"/>
              </w:rPr>
              <w:t>60</w:t>
            </w:r>
            <w:r>
              <w:rPr>
                <w:rFonts w:hint="eastAsia" w:ascii="宋体" w:hAnsi="宋体" w:eastAsia="宋体" w:cs="宋体"/>
                <w:color w:val="000000"/>
                <w:kern w:val="0"/>
                <w:sz w:val="20"/>
                <w:szCs w:val="20"/>
              </w:rPr>
              <w:t>万元安家补贴，硕士研究生每人发放</w:t>
            </w:r>
            <w:r>
              <w:rPr>
                <w:rFonts w:hint="eastAsia" w:ascii="Times New Roman" w:hAnsi="Times New Roman" w:eastAsia="宋体" w:cs="宋体"/>
                <w:color w:val="000000"/>
                <w:kern w:val="0"/>
                <w:sz w:val="20"/>
                <w:szCs w:val="20"/>
              </w:rPr>
              <w:t>40</w:t>
            </w:r>
            <w:r>
              <w:rPr>
                <w:rFonts w:hint="eastAsia" w:ascii="宋体" w:hAnsi="宋体" w:eastAsia="宋体" w:cs="宋体"/>
                <w:color w:val="000000"/>
                <w:kern w:val="0"/>
                <w:sz w:val="20"/>
                <w:szCs w:val="20"/>
              </w:rPr>
              <w:t>万元安家补贴，本科生每人发放</w:t>
            </w:r>
            <w:r>
              <w:rPr>
                <w:rFonts w:hint="eastAsia" w:ascii="Times New Roman" w:hAnsi="Times New Roman" w:eastAsia="宋体" w:cs="宋体"/>
                <w:color w:val="000000"/>
                <w:kern w:val="0"/>
                <w:sz w:val="20"/>
                <w:szCs w:val="20"/>
              </w:rPr>
              <w:t>10</w:t>
            </w:r>
            <w:r>
              <w:rPr>
                <w:rFonts w:hint="eastAsia" w:ascii="宋体" w:hAnsi="宋体" w:eastAsia="宋体" w:cs="宋体"/>
                <w:color w:val="000000"/>
                <w:kern w:val="0"/>
                <w:sz w:val="20"/>
                <w:szCs w:val="20"/>
              </w:rPr>
              <w:t>万元安家补贴。生活补贴发放期限为</w:t>
            </w:r>
            <w:r>
              <w:rPr>
                <w:rFonts w:hint="eastAsia" w:ascii="Times New Roman" w:hAnsi="Times New Roman" w:eastAsia="宋体" w:cs="宋体"/>
                <w:color w:val="000000"/>
                <w:kern w:val="0"/>
                <w:sz w:val="20"/>
                <w:szCs w:val="20"/>
              </w:rPr>
              <w:t>3</w:t>
            </w:r>
            <w:r>
              <w:rPr>
                <w:rFonts w:hint="eastAsia" w:ascii="宋体" w:hAnsi="宋体" w:eastAsia="宋体" w:cs="宋体"/>
                <w:color w:val="000000"/>
                <w:kern w:val="0"/>
                <w:sz w:val="20"/>
                <w:szCs w:val="20"/>
              </w:rPr>
              <w:t>年，标准为博士研究生</w:t>
            </w:r>
            <w:r>
              <w:rPr>
                <w:rFonts w:hint="eastAsia" w:ascii="Times New Roman" w:hAnsi="Times New Roman" w:eastAsia="宋体" w:cs="宋体"/>
                <w:color w:val="000000"/>
                <w:kern w:val="0"/>
                <w:sz w:val="20"/>
                <w:szCs w:val="20"/>
              </w:rPr>
              <w:t>2</w:t>
            </w:r>
            <w:r>
              <w:rPr>
                <w:rFonts w:hint="eastAsia" w:ascii="宋体" w:hAnsi="宋体" w:eastAsia="宋体" w:cs="宋体"/>
                <w:color w:val="000000"/>
                <w:kern w:val="0"/>
                <w:sz w:val="20"/>
                <w:szCs w:val="20"/>
              </w:rPr>
              <w:t>万元/年、硕士研究生</w:t>
            </w:r>
            <w:r>
              <w:rPr>
                <w:rFonts w:hint="eastAsia" w:ascii="Times New Roman" w:hAnsi="Times New Roman" w:eastAsia="宋体" w:cs="宋体"/>
                <w:color w:val="000000"/>
                <w:kern w:val="0"/>
                <w:sz w:val="20"/>
                <w:szCs w:val="20"/>
              </w:rPr>
              <w:t>1</w:t>
            </w:r>
            <w:r>
              <w:rPr>
                <w:rFonts w:hint="eastAsia" w:ascii="宋体" w:hAnsi="宋体" w:eastAsia="宋体" w:cs="宋体"/>
                <w:color w:val="000000"/>
                <w:kern w:val="0"/>
                <w:sz w:val="20"/>
                <w:szCs w:val="20"/>
              </w:rPr>
              <w:t>万元/年。</w:t>
            </w:r>
          </w:p>
        </w:tc>
      </w:tr>
      <w:tr>
        <w:tblPrEx>
          <w:tblCellMar>
            <w:top w:w="0" w:type="dxa"/>
            <w:left w:w="108" w:type="dxa"/>
            <w:bottom w:w="0" w:type="dxa"/>
            <w:right w:w="108" w:type="dxa"/>
          </w:tblCellMar>
        </w:tblPrEx>
        <w:trPr>
          <w:trHeight w:val="2041"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靖江中学</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3C-2</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从事高中物理教学及管理工作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041"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靖江中学</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3C-3</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从事高中历史教学及管理工作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041" w:hRule="atLeast"/>
          <w:jc w:val="center"/>
        </w:trPr>
        <w:tc>
          <w:tcPr>
            <w:tcW w:w="285" w:type="pct"/>
            <w:tcBorders>
              <w:top w:val="single" w:color="auto" w:sz="4" w:space="0"/>
              <w:left w:val="single" w:color="auto" w:sz="8"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靖江市</w:t>
            </w:r>
          </w:p>
        </w:tc>
        <w:tc>
          <w:tcPr>
            <w:tcW w:w="191"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w:t>
            </w:r>
          </w:p>
        </w:tc>
        <w:tc>
          <w:tcPr>
            <w:tcW w:w="316"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江苏省</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靖江中学</w:t>
            </w:r>
          </w:p>
        </w:tc>
        <w:tc>
          <w:tcPr>
            <w:tcW w:w="230"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3C-4</w:t>
            </w:r>
          </w:p>
        </w:tc>
        <w:tc>
          <w:tcPr>
            <w:tcW w:w="369"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从事高中生物教学及管理工作</w:t>
            </w:r>
          </w:p>
        </w:tc>
        <w:tc>
          <w:tcPr>
            <w:tcW w:w="185"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本科</w:t>
            </w:r>
          </w:p>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及以上</w:t>
            </w:r>
          </w:p>
        </w:tc>
        <w:tc>
          <w:tcPr>
            <w:tcW w:w="672"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不限</w:t>
            </w:r>
          </w:p>
        </w:tc>
        <w:tc>
          <w:tcPr>
            <w:tcW w:w="849"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76"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22" w:hRule="atLeast"/>
          <w:jc w:val="center"/>
        </w:trPr>
        <w:tc>
          <w:tcPr>
            <w:tcW w:w="285" w:type="pct"/>
            <w:tcBorders>
              <w:top w:val="single" w:color="auto" w:sz="8"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泰兴市</w:t>
            </w:r>
          </w:p>
        </w:tc>
        <w:tc>
          <w:tcPr>
            <w:tcW w:w="191"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4C</w:t>
            </w:r>
          </w:p>
        </w:tc>
        <w:tc>
          <w:tcPr>
            <w:tcW w:w="316"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泰兴中学</w:t>
            </w:r>
          </w:p>
        </w:tc>
        <w:tc>
          <w:tcPr>
            <w:tcW w:w="230"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4C-1</w:t>
            </w:r>
          </w:p>
        </w:tc>
        <w:tc>
          <w:tcPr>
            <w:tcW w:w="369"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从事高中物理学科竞赛辅导和创新人才培养工作</w:t>
            </w:r>
          </w:p>
        </w:tc>
        <w:tc>
          <w:tcPr>
            <w:tcW w:w="185"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物理及相关专业</w:t>
            </w:r>
          </w:p>
        </w:tc>
        <w:tc>
          <w:tcPr>
            <w:tcW w:w="849"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1.C9重点高校（清华大学、北京大学、复旦大学、上海交通大学、南京大学、浙江大学、中国科学技术大学、哈尔滨工业大学、西安交通大学，下同）全日制本科学历毕业生；</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2.C9重点高校全日制硕士研究生及以上学历毕业生（本科阶段须为第二轮“双一流”建设高校全日制毕业生，且本科和研究生阶段所学专业均须为选聘相关专业）；</w:t>
            </w:r>
          </w:p>
          <w:p>
            <w:pPr>
              <w:widowControl/>
              <w:spacing w:line="240" w:lineRule="exac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3.高中及以上阶段须获得省级以上相应学科竞赛奖项；</w:t>
            </w:r>
          </w:p>
          <w:p>
            <w:pPr>
              <w:widowControl/>
              <w:spacing w:line="240" w:lineRule="exac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4.须取得高中相应学科教师资格证（暂未取得的须在入职2年内取得）。</w:t>
            </w:r>
          </w:p>
        </w:tc>
        <w:tc>
          <w:tcPr>
            <w:tcW w:w="553"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电子邮箱：txzzbghb@126.com</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咨询电话：</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13512550991；</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18994713397。</w:t>
            </w:r>
          </w:p>
        </w:tc>
        <w:tc>
          <w:tcPr>
            <w:tcW w:w="185"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6"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综评+面试</w:t>
            </w:r>
          </w:p>
        </w:tc>
        <w:tc>
          <w:tcPr>
            <w:tcW w:w="561" w:type="pct"/>
            <w:vMerge w:val="restart"/>
            <w:tcBorders>
              <w:top w:val="single" w:color="auto" w:sz="8"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spacing w:line="240" w:lineRule="exac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1.本科生、硕士研究生、博士研究生（按符合招聘要求的最高学历，下同）年薪分别不低于40万元、50万元、60万元（包含个人需缴纳的医保费用、养老保险、职业年金、住房公积金和个人所得税）；试用期满考核合格的，分别发放一次性入职奖励15万元、20万元、30万元；工作满5年且业绩突出者给予最高100万元优才补贴（含5年内的奖金）；</w:t>
            </w:r>
          </w:p>
          <w:p>
            <w:pPr>
              <w:widowControl/>
              <w:spacing w:line="240" w:lineRule="exac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2.免费居住人才公寓（或给予租房补贴）3年，享受“购房券”待遇，本科生、硕士研究生、博士研究生发放标准分别为8万元、15万元、25万元。</w:t>
            </w:r>
          </w:p>
        </w:tc>
      </w:tr>
      <w:tr>
        <w:tblPrEx>
          <w:tblCellMar>
            <w:top w:w="0" w:type="dxa"/>
            <w:left w:w="108" w:type="dxa"/>
            <w:bottom w:w="0" w:type="dxa"/>
            <w:right w:w="108" w:type="dxa"/>
          </w:tblCellMar>
        </w:tblPrEx>
        <w:trPr>
          <w:trHeight w:val="2722"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泰兴中学</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4C-2</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从事高中化学学科竞赛辅导和创新人才培养工作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化学及相关专业</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2722" w:hRule="atLeast"/>
          <w:jc w:val="center"/>
        </w:trPr>
        <w:tc>
          <w:tcPr>
            <w:tcW w:w="285" w:type="pct"/>
            <w:tcBorders>
              <w:top w:val="single" w:color="auto" w:sz="4" w:space="0"/>
              <w:left w:val="single" w:color="auto" w:sz="8"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泰兴市</w:t>
            </w:r>
          </w:p>
        </w:tc>
        <w:tc>
          <w:tcPr>
            <w:tcW w:w="191"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4C</w:t>
            </w:r>
          </w:p>
        </w:tc>
        <w:tc>
          <w:tcPr>
            <w:tcW w:w="316"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泰兴中学</w:t>
            </w:r>
          </w:p>
        </w:tc>
        <w:tc>
          <w:tcPr>
            <w:tcW w:w="230"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4C-3</w:t>
            </w:r>
          </w:p>
        </w:tc>
        <w:tc>
          <w:tcPr>
            <w:tcW w:w="369"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从事高中生物学科竞赛辅导和创新人才培养工作</w:t>
            </w:r>
          </w:p>
        </w:tc>
        <w:tc>
          <w:tcPr>
            <w:tcW w:w="185"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生物及相关专业</w:t>
            </w:r>
          </w:p>
        </w:tc>
        <w:tc>
          <w:tcPr>
            <w:tcW w:w="849"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1476" w:hRule="atLeast"/>
          <w:jc w:val="center"/>
        </w:trPr>
        <w:tc>
          <w:tcPr>
            <w:tcW w:w="285" w:type="pct"/>
            <w:tcBorders>
              <w:top w:val="single" w:color="auto" w:sz="8"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兴化中学</w:t>
            </w:r>
          </w:p>
        </w:tc>
        <w:tc>
          <w:tcPr>
            <w:tcW w:w="230"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5C-1</w:t>
            </w:r>
          </w:p>
        </w:tc>
        <w:tc>
          <w:tcPr>
            <w:tcW w:w="369"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从事高中语文教学及管理工作</w:t>
            </w:r>
          </w:p>
        </w:tc>
        <w:tc>
          <w:tcPr>
            <w:tcW w:w="185"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中文及相关专业</w:t>
            </w:r>
          </w:p>
        </w:tc>
        <w:tc>
          <w:tcPr>
            <w:tcW w:w="849"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3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1.本科阶段须为第一轮“一流大学”建设高校全日制毕业生。</w:t>
            </w:r>
          </w:p>
          <w:p>
            <w:pPr>
              <w:widowControl/>
              <w:spacing w:line="23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2.首聘期3年内取得相应学科教师资格证书。</w:t>
            </w:r>
          </w:p>
        </w:tc>
        <w:tc>
          <w:tcPr>
            <w:tcW w:w="553"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电子邮箱：jssxhzxzp@163.com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咨询电话：0523-83217000（江苏省兴化中学）联系人：曹老师 13812380208</w:t>
            </w:r>
            <w:r>
              <w:rPr>
                <w:rFonts w:hint="eastAsia" w:ascii="Times New Roman" w:hAnsi="Times New Roman" w:eastAsia="宋体" w:cs="Times New Roman"/>
                <w:kern w:val="0"/>
                <w:sz w:val="20"/>
                <w:szCs w:val="20"/>
                <w:lang w:eastAsia="zh-CN"/>
              </w:rPr>
              <w:t>，</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0523-83242833</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（兴化市教育局）</w:t>
            </w:r>
          </w:p>
        </w:tc>
        <w:tc>
          <w:tcPr>
            <w:tcW w:w="185"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6"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笔试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面试</w:t>
            </w:r>
          </w:p>
        </w:tc>
        <w:tc>
          <w:tcPr>
            <w:tcW w:w="561" w:type="pct"/>
            <w:vMerge w:val="restart"/>
            <w:tcBorders>
              <w:top w:val="single" w:color="auto" w:sz="8"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享受兴化市优秀人才有关奖励待遇</w:t>
            </w:r>
          </w:p>
        </w:tc>
      </w:tr>
      <w:tr>
        <w:tblPrEx>
          <w:tblCellMar>
            <w:top w:w="0" w:type="dxa"/>
            <w:left w:w="108" w:type="dxa"/>
            <w:bottom w:w="0" w:type="dxa"/>
            <w:right w:w="108" w:type="dxa"/>
          </w:tblCellMar>
        </w:tblPrEx>
        <w:trPr>
          <w:trHeight w:val="1356"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兴化中学</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5C-2</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从事高中数学教学及管理工作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数学及相关专业</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3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1376"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兴化中学</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5C-3</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从事高中英语教学及管理工作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英语及相关专业</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3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1722"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兴化中学</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5C-4</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从事高中物理教学及管理工作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物理及相关专业</w:t>
            </w:r>
          </w:p>
        </w:tc>
        <w:tc>
          <w:tcPr>
            <w:tcW w:w="849" w:type="pct"/>
            <w:vMerge w:val="restar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3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1.本科阶段须为第一轮“一流大学”建设高校</w:t>
            </w:r>
            <w:r>
              <w:rPr>
                <w:rFonts w:hint="eastAsia" w:ascii="Times New Roman" w:hAnsi="Times New Roman" w:eastAsia="宋体" w:cs="Times New Roman"/>
                <w:kern w:val="0"/>
                <w:sz w:val="20"/>
                <w:szCs w:val="20"/>
                <w:lang w:val="en-US" w:eastAsia="zh-CN"/>
              </w:rPr>
              <w:t>或</w:t>
            </w:r>
            <w:r>
              <w:rPr>
                <w:rFonts w:hint="eastAsia" w:ascii="Times New Roman" w:hAnsi="Times New Roman" w:eastAsia="宋体" w:cs="Times New Roman"/>
                <w:kern w:val="0"/>
                <w:sz w:val="20"/>
                <w:szCs w:val="20"/>
              </w:rPr>
              <w:t>第二轮“双一流”建设高校全日制毕业生。</w:t>
            </w:r>
          </w:p>
          <w:p>
            <w:pPr>
              <w:widowControl/>
              <w:spacing w:line="23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2.首聘期3年内取得相应学科教师资格证书。</w:t>
            </w: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1936" w:hRule="atLeast"/>
          <w:jc w:val="center"/>
        </w:trPr>
        <w:tc>
          <w:tcPr>
            <w:tcW w:w="285" w:type="pct"/>
            <w:tcBorders>
              <w:top w:val="single" w:color="auto" w:sz="4" w:space="0"/>
              <w:left w:val="single" w:color="auto" w:sz="8"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江苏省</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兴化中学</w:t>
            </w:r>
          </w:p>
        </w:tc>
        <w:tc>
          <w:tcPr>
            <w:tcW w:w="230"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5C-5</w:t>
            </w:r>
          </w:p>
        </w:tc>
        <w:tc>
          <w:tcPr>
            <w:tcW w:w="369"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从事高中化学教学及管理工作</w:t>
            </w:r>
          </w:p>
        </w:tc>
        <w:tc>
          <w:tcPr>
            <w:tcW w:w="185"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化学及相关专业</w:t>
            </w:r>
          </w:p>
        </w:tc>
        <w:tc>
          <w:tcPr>
            <w:tcW w:w="849"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61" w:type="pct"/>
            <w:vMerge w:val="continue"/>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2722" w:hRule="atLeast"/>
          <w:jc w:val="center"/>
        </w:trPr>
        <w:tc>
          <w:tcPr>
            <w:tcW w:w="285" w:type="pct"/>
            <w:tcBorders>
              <w:top w:val="single" w:color="auto" w:sz="8"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兴化市</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楚水实验学校</w:t>
            </w:r>
          </w:p>
        </w:tc>
        <w:tc>
          <w:tcPr>
            <w:tcW w:w="230"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5C-6</w:t>
            </w:r>
          </w:p>
        </w:tc>
        <w:tc>
          <w:tcPr>
            <w:tcW w:w="369"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从事高中数学教学及管理工作</w:t>
            </w:r>
          </w:p>
        </w:tc>
        <w:tc>
          <w:tcPr>
            <w:tcW w:w="185"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数学及相关专业</w:t>
            </w:r>
          </w:p>
        </w:tc>
        <w:tc>
          <w:tcPr>
            <w:tcW w:w="849"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1.本科阶段须为第一轮“一流大学”建设高校</w:t>
            </w:r>
            <w:r>
              <w:rPr>
                <w:rFonts w:hint="eastAsia" w:ascii="Times New Roman" w:hAnsi="Times New Roman" w:eastAsia="宋体" w:cs="Times New Roman"/>
                <w:kern w:val="0"/>
                <w:sz w:val="20"/>
                <w:szCs w:val="20"/>
                <w:lang w:val="en-US" w:eastAsia="zh-CN"/>
              </w:rPr>
              <w:t>或</w:t>
            </w:r>
            <w:r>
              <w:rPr>
                <w:rFonts w:hint="eastAsia" w:ascii="Times New Roman" w:hAnsi="Times New Roman" w:eastAsia="宋体" w:cs="Times New Roman"/>
                <w:kern w:val="0"/>
                <w:sz w:val="20"/>
                <w:szCs w:val="20"/>
              </w:rPr>
              <w:t>第二轮“双一流”建设高校全日制毕业生。</w:t>
            </w:r>
          </w:p>
          <w:p>
            <w:pPr>
              <w:widowControl/>
              <w:spacing w:line="240" w:lineRule="exact"/>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2.首聘期3年内取得相应学科教师资格证书。</w:t>
            </w:r>
          </w:p>
        </w:tc>
        <w:tc>
          <w:tcPr>
            <w:tcW w:w="553"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电子邮箱：147660407@qq.com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咨询电话：0523-80218889（兴化市楚水实验学校）联系人：徐老师 13814493698</w:t>
            </w:r>
            <w:r>
              <w:rPr>
                <w:rFonts w:hint="eastAsia" w:ascii="Times New Roman" w:hAnsi="Times New Roman" w:eastAsia="宋体" w:cs="Times New Roman"/>
                <w:kern w:val="0"/>
                <w:sz w:val="20"/>
                <w:szCs w:val="20"/>
                <w:lang w:eastAsia="zh-CN"/>
              </w:rPr>
              <w:t>，</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0523-83242833</w:t>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（兴化市教育局）</w:t>
            </w:r>
          </w:p>
        </w:tc>
        <w:tc>
          <w:tcPr>
            <w:tcW w:w="185"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6"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笔试</w:t>
            </w:r>
            <w:r>
              <w:rPr>
                <w:rFonts w:ascii="Times New Roman" w:hAnsi="Times New Roman" w:eastAsia="宋体" w:cs="Times New Roman"/>
                <w:kern w:val="0"/>
                <w:sz w:val="20"/>
                <w:szCs w:val="20"/>
              </w:rPr>
              <w:t>+</w:t>
            </w:r>
            <w:r>
              <w:rPr>
                <w:rFonts w:hint="eastAsia" w:ascii="宋体" w:hAnsi="宋体" w:eastAsia="宋体" w:cs="Times New Roman"/>
                <w:kern w:val="0"/>
                <w:sz w:val="20"/>
                <w:szCs w:val="20"/>
              </w:rPr>
              <w:t>面试</w:t>
            </w:r>
          </w:p>
        </w:tc>
        <w:tc>
          <w:tcPr>
            <w:tcW w:w="561" w:type="pct"/>
            <w:vMerge w:val="restart"/>
            <w:tcBorders>
              <w:top w:val="single" w:color="auto" w:sz="8"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享受兴化市优秀人才有关奖励待遇</w:t>
            </w:r>
          </w:p>
        </w:tc>
      </w:tr>
      <w:tr>
        <w:tblPrEx>
          <w:tblCellMar>
            <w:top w:w="0" w:type="dxa"/>
            <w:left w:w="108" w:type="dxa"/>
            <w:bottom w:w="0" w:type="dxa"/>
            <w:right w:w="108" w:type="dxa"/>
          </w:tblCellMar>
        </w:tblPrEx>
        <w:trPr>
          <w:trHeight w:val="2722" w:hRule="atLeast"/>
          <w:jc w:val="center"/>
        </w:trPr>
        <w:tc>
          <w:tcPr>
            <w:tcW w:w="285" w:type="pct"/>
            <w:tcBorders>
              <w:top w:val="single" w:color="auto" w:sz="4"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兴化市</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楚水实验学校</w:t>
            </w:r>
          </w:p>
        </w:tc>
        <w:tc>
          <w:tcPr>
            <w:tcW w:w="230"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5C-7</w:t>
            </w:r>
          </w:p>
        </w:tc>
        <w:tc>
          <w:tcPr>
            <w:tcW w:w="369"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从事高中物理教学及管理工作</w:t>
            </w:r>
          </w:p>
        </w:tc>
        <w:tc>
          <w:tcPr>
            <w:tcW w:w="185"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4"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物理及相关专业</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2722" w:hRule="atLeast"/>
          <w:jc w:val="center"/>
        </w:trPr>
        <w:tc>
          <w:tcPr>
            <w:tcW w:w="285" w:type="pct"/>
            <w:tcBorders>
              <w:top w:val="single" w:color="auto" w:sz="4" w:space="0"/>
              <w:left w:val="single" w:color="auto" w:sz="8"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兴化市</w:t>
            </w:r>
          </w:p>
        </w:tc>
        <w:tc>
          <w:tcPr>
            <w:tcW w:w="191"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w:t>
            </w:r>
          </w:p>
        </w:tc>
        <w:tc>
          <w:tcPr>
            <w:tcW w:w="316"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兴化市</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楚水实验学校</w:t>
            </w:r>
          </w:p>
        </w:tc>
        <w:tc>
          <w:tcPr>
            <w:tcW w:w="230"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5C-8</w:t>
            </w:r>
          </w:p>
        </w:tc>
        <w:tc>
          <w:tcPr>
            <w:tcW w:w="369"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从事高中化学教学及管理工作</w:t>
            </w:r>
          </w:p>
        </w:tc>
        <w:tc>
          <w:tcPr>
            <w:tcW w:w="185"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color w:val="000000"/>
                <w:kern w:val="0"/>
                <w:sz w:val="20"/>
                <w:szCs w:val="20"/>
              </w:rPr>
            </w:pPr>
            <w:r>
              <w:rPr>
                <w:rFonts w:hint="eastAsia" w:ascii="宋体" w:hAnsi="宋体" w:eastAsia="宋体" w:cs="Times New Roman"/>
                <w:color w:val="000000"/>
                <w:kern w:val="0"/>
                <w:sz w:val="20"/>
                <w:szCs w:val="20"/>
              </w:rPr>
              <w:t>本科</w:t>
            </w:r>
          </w:p>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及以上</w:t>
            </w:r>
          </w:p>
        </w:tc>
        <w:tc>
          <w:tcPr>
            <w:tcW w:w="672" w:type="pct"/>
            <w:tcBorders>
              <w:top w:val="single" w:color="auto" w:sz="4" w:space="0"/>
              <w:left w:val="single" w:color="auto" w:sz="4"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化学及相关专业</w:t>
            </w:r>
          </w:p>
        </w:tc>
        <w:tc>
          <w:tcPr>
            <w:tcW w:w="849"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61" w:type="pct"/>
            <w:vMerge w:val="continue"/>
            <w:tcBorders>
              <w:top w:val="single" w:color="auto" w:sz="4" w:space="0"/>
              <w:left w:val="single" w:color="auto" w:sz="4" w:space="0"/>
              <w:bottom w:val="single" w:color="auto"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964" w:hRule="atLeast"/>
          <w:jc w:val="center"/>
        </w:trPr>
        <w:tc>
          <w:tcPr>
            <w:tcW w:w="285" w:type="pct"/>
            <w:tcBorders>
              <w:top w:val="single" w:color="auto" w:sz="8" w:space="0"/>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single" w:color="auto" w:sz="8" w:space="0"/>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江苏省姜堰中学等</w:t>
            </w:r>
            <w:r>
              <w:rPr>
                <w:rFonts w:hint="eastAsia" w:ascii="Times New Roman" w:hAnsi="Times New Roman" w:eastAsia="宋体" w:cs="宋体"/>
                <w:kern w:val="0"/>
                <w:sz w:val="20"/>
                <w:szCs w:val="20"/>
              </w:rPr>
              <w:t>3</w:t>
            </w:r>
            <w:r>
              <w:rPr>
                <w:rFonts w:hint="eastAsia" w:ascii="宋体" w:hAnsi="宋体" w:eastAsia="宋体" w:cs="宋体"/>
                <w:kern w:val="0"/>
                <w:sz w:val="20"/>
                <w:szCs w:val="20"/>
              </w:rPr>
              <w:t>家城区四星级高中</w:t>
            </w:r>
          </w:p>
        </w:tc>
        <w:tc>
          <w:tcPr>
            <w:tcW w:w="230" w:type="pct"/>
            <w:tcBorders>
              <w:top w:val="single" w:color="auto" w:sz="8" w:space="0"/>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6C-1</w:t>
            </w:r>
          </w:p>
        </w:tc>
        <w:tc>
          <w:tcPr>
            <w:tcW w:w="369" w:type="pct"/>
            <w:tcBorders>
              <w:top w:val="single" w:color="auto" w:sz="8" w:space="0"/>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从事高中数学竞赛教学及管理工作</w:t>
            </w:r>
          </w:p>
        </w:tc>
        <w:tc>
          <w:tcPr>
            <w:tcW w:w="185" w:type="pct"/>
            <w:tcBorders>
              <w:top w:val="single" w:color="auto" w:sz="8" w:space="0"/>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single" w:color="auto" w:sz="8" w:space="0"/>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single" w:color="auto" w:sz="8" w:space="0"/>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9"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C9</w:t>
            </w:r>
            <w:r>
              <w:rPr>
                <w:rFonts w:hint="eastAsia" w:ascii="宋体" w:hAnsi="宋体" w:eastAsia="宋体" w:cs="Times New Roman"/>
                <w:kern w:val="0"/>
                <w:sz w:val="20"/>
                <w:szCs w:val="20"/>
              </w:rPr>
              <w:t>联盟高校全日制本科及以上学历毕业生。</w:t>
            </w:r>
          </w:p>
        </w:tc>
        <w:tc>
          <w:tcPr>
            <w:tcW w:w="553" w:type="pct"/>
            <w:vMerge w:val="restart"/>
            <w:tcBorders>
              <w:top w:val="single" w:color="auto" w:sz="8" w:space="0"/>
              <w:left w:val="single" w:color="auto" w:sz="4" w:space="0"/>
              <w:bottom w:val="single" w:color="000000"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default" w:ascii="Times New Roman" w:hAnsi="Times New Roman" w:eastAsia="宋体" w:cs="Times New Roman"/>
                <w:color w:val="auto"/>
                <w:kern w:val="0"/>
                <w:sz w:val="20"/>
                <w:szCs w:val="20"/>
                <w:u w:val="none"/>
              </w:rPr>
            </w:pPr>
            <w:r>
              <w:rPr>
                <w:rFonts w:hint="default" w:ascii="Times New Roman" w:hAnsi="Times New Roman" w:eastAsia="宋体" w:cs="Times New Roman"/>
                <w:kern w:val="0"/>
                <w:sz w:val="20"/>
                <w:szCs w:val="20"/>
              </w:rPr>
              <w:t>报名网址：</w:t>
            </w:r>
            <w:r>
              <w:rPr>
                <w:rFonts w:hint="default" w:ascii="Times New Roman" w:hAnsi="Times New Roman" w:eastAsia="宋体" w:cs="Times New Roman"/>
                <w:color w:val="auto"/>
                <w:kern w:val="0"/>
                <w:sz w:val="20"/>
                <w:szCs w:val="20"/>
                <w:u w:val="none"/>
              </w:rPr>
              <w:fldChar w:fldCharType="begin"/>
            </w:r>
            <w:r>
              <w:rPr>
                <w:rFonts w:hint="default" w:ascii="Times New Roman" w:hAnsi="Times New Roman" w:eastAsia="宋体" w:cs="Times New Roman"/>
                <w:color w:val="auto"/>
                <w:kern w:val="0"/>
                <w:sz w:val="20"/>
                <w:szCs w:val="20"/>
                <w:u w:val="none"/>
              </w:rPr>
              <w:instrText xml:space="preserve"> HYPERLINK "http://www.tzjob.com" </w:instrText>
            </w:r>
            <w:r>
              <w:rPr>
                <w:rFonts w:hint="default" w:ascii="Times New Roman" w:hAnsi="Times New Roman" w:eastAsia="宋体" w:cs="Times New Roman"/>
                <w:color w:val="auto"/>
                <w:kern w:val="0"/>
                <w:sz w:val="20"/>
                <w:szCs w:val="20"/>
                <w:u w:val="none"/>
              </w:rPr>
              <w:fldChar w:fldCharType="separate"/>
            </w:r>
            <w:r>
              <w:rPr>
                <w:rStyle w:val="6"/>
                <w:rFonts w:hint="default" w:ascii="Times New Roman" w:hAnsi="Times New Roman" w:eastAsia="宋体" w:cs="Times New Roman"/>
                <w:color w:val="auto"/>
                <w:kern w:val="0"/>
                <w:sz w:val="20"/>
                <w:szCs w:val="20"/>
                <w:u w:val="none"/>
              </w:rPr>
              <w:t>www.tzjob.com</w:t>
            </w:r>
            <w:r>
              <w:rPr>
                <w:rFonts w:hint="default" w:ascii="Times New Roman" w:hAnsi="Times New Roman" w:eastAsia="宋体" w:cs="Times New Roman"/>
                <w:color w:val="auto"/>
                <w:kern w:val="0"/>
                <w:sz w:val="20"/>
                <w:szCs w:val="20"/>
                <w:u w:val="none"/>
              </w:rPr>
              <w:fldChar w:fldCharType="end"/>
            </w:r>
          </w:p>
          <w:p>
            <w:pPr>
              <w:widowControl/>
              <w:spacing w:line="240" w:lineRule="exact"/>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电子邮箱：88212184@163.com</w:t>
            </w:r>
            <w:r>
              <w:rPr>
                <w:rFonts w:hint="default" w:ascii="Times New Roman" w:hAnsi="Times New Roman" w:eastAsia="宋体" w:cs="Times New Roman"/>
                <w:kern w:val="0"/>
                <w:sz w:val="20"/>
                <w:szCs w:val="20"/>
              </w:rPr>
              <w:br w:type="textWrapping"/>
            </w:r>
            <w:r>
              <w:rPr>
                <w:rFonts w:hint="default" w:ascii="Times New Roman" w:hAnsi="Times New Roman" w:eastAsia="宋体" w:cs="Times New Roman"/>
                <w:kern w:val="0"/>
                <w:sz w:val="20"/>
                <w:szCs w:val="20"/>
              </w:rPr>
              <w:t>咨询电话：0523-88088506、0523-88986015</w:t>
            </w:r>
          </w:p>
        </w:tc>
        <w:tc>
          <w:tcPr>
            <w:tcW w:w="185"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6" w:type="pct"/>
            <w:vMerge w:val="restart"/>
            <w:tcBorders>
              <w:top w:val="single" w:color="auto" w:sz="8" w:space="0"/>
              <w:left w:val="single" w:color="auto" w:sz="4"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笔试+说课</w:t>
            </w:r>
          </w:p>
        </w:tc>
        <w:tc>
          <w:tcPr>
            <w:tcW w:w="561" w:type="pct"/>
            <w:vMerge w:val="restart"/>
            <w:tcBorders>
              <w:top w:val="single" w:color="auto" w:sz="8" w:space="0"/>
              <w:left w:val="single" w:color="auto" w:sz="4" w:space="0"/>
              <w:bottom w:val="single" w:color="auto" w:sz="4" w:space="0"/>
              <w:right w:val="single" w:color="auto" w:sz="8" w:space="0"/>
            </w:tcBorders>
            <w:shd w:val="clear" w:color="auto" w:fill="auto"/>
            <w:tcMar>
              <w:top w:w="28" w:type="dxa"/>
              <w:left w:w="57" w:type="dxa"/>
              <w:bottom w:w="28" w:type="dxa"/>
              <w:right w:w="57" w:type="dxa"/>
            </w:tcMar>
            <w:vAlign w:val="center"/>
          </w:tcPr>
          <w:p>
            <w:pPr>
              <w:widowControl/>
              <w:spacing w:line="240" w:lineRule="exact"/>
              <w:rPr>
                <w:rFonts w:ascii="Times New Roman" w:hAnsi="Times New Roman" w:eastAsia="宋体" w:cs="Times New Roman"/>
                <w:color w:val="000000"/>
                <w:spacing w:val="-6"/>
                <w:kern w:val="0"/>
                <w:sz w:val="20"/>
                <w:szCs w:val="20"/>
              </w:rPr>
            </w:pPr>
            <w:r>
              <w:rPr>
                <w:rFonts w:hint="eastAsia" w:ascii="宋体" w:hAnsi="宋体" w:eastAsia="宋体" w:cs="Times New Roman"/>
                <w:color w:val="000000"/>
                <w:spacing w:val="-12"/>
                <w:kern w:val="0"/>
                <w:sz w:val="20"/>
                <w:szCs w:val="20"/>
              </w:rPr>
              <w:t>本科生、硕士研究生、博士研究生（按符合招聘要求的最高学历）年薪分别不低于</w:t>
            </w:r>
            <w:r>
              <w:rPr>
                <w:rFonts w:ascii="Times New Roman" w:hAnsi="Times New Roman" w:eastAsia="宋体" w:cs="Times New Roman"/>
                <w:color w:val="000000"/>
                <w:spacing w:val="-12"/>
                <w:kern w:val="0"/>
                <w:sz w:val="20"/>
                <w:szCs w:val="20"/>
              </w:rPr>
              <w:t>30</w:t>
            </w:r>
            <w:r>
              <w:rPr>
                <w:rFonts w:hint="eastAsia" w:ascii="宋体" w:hAnsi="宋体" w:eastAsia="宋体" w:cs="Times New Roman"/>
                <w:color w:val="000000"/>
                <w:spacing w:val="-12"/>
                <w:kern w:val="0"/>
                <w:sz w:val="20"/>
                <w:szCs w:val="20"/>
              </w:rPr>
              <w:t>万元、</w:t>
            </w:r>
            <w:r>
              <w:rPr>
                <w:rFonts w:ascii="Times New Roman" w:hAnsi="Times New Roman" w:eastAsia="宋体" w:cs="Times New Roman"/>
                <w:color w:val="000000"/>
                <w:spacing w:val="-12"/>
                <w:kern w:val="0"/>
                <w:sz w:val="20"/>
                <w:szCs w:val="20"/>
              </w:rPr>
              <w:t>40</w:t>
            </w:r>
            <w:r>
              <w:rPr>
                <w:rFonts w:hint="eastAsia" w:ascii="宋体" w:hAnsi="宋体" w:eastAsia="宋体" w:cs="Times New Roman"/>
                <w:color w:val="000000"/>
                <w:spacing w:val="-12"/>
                <w:kern w:val="0"/>
                <w:sz w:val="20"/>
                <w:szCs w:val="20"/>
              </w:rPr>
              <w:t>万元、</w:t>
            </w:r>
            <w:r>
              <w:rPr>
                <w:rFonts w:ascii="Times New Roman" w:hAnsi="Times New Roman" w:eastAsia="宋体" w:cs="Times New Roman"/>
                <w:color w:val="000000"/>
                <w:spacing w:val="-12"/>
                <w:kern w:val="0"/>
                <w:sz w:val="20"/>
                <w:szCs w:val="20"/>
              </w:rPr>
              <w:t>50</w:t>
            </w:r>
            <w:r>
              <w:rPr>
                <w:rFonts w:hint="eastAsia" w:ascii="宋体" w:hAnsi="宋体" w:eastAsia="宋体" w:cs="Times New Roman"/>
                <w:color w:val="000000"/>
                <w:spacing w:val="-12"/>
                <w:kern w:val="0"/>
                <w:sz w:val="20"/>
                <w:szCs w:val="20"/>
              </w:rPr>
              <w:t>万元，且随教师收入增加进行相应调整；入职后，分别发放一次性入职奖励</w:t>
            </w:r>
            <w:r>
              <w:rPr>
                <w:rFonts w:ascii="Times New Roman" w:hAnsi="Times New Roman" w:eastAsia="宋体" w:cs="Times New Roman"/>
                <w:color w:val="000000"/>
                <w:spacing w:val="-12"/>
                <w:kern w:val="0"/>
                <w:sz w:val="20"/>
                <w:szCs w:val="20"/>
              </w:rPr>
              <w:t>15</w:t>
            </w:r>
            <w:r>
              <w:rPr>
                <w:rFonts w:hint="eastAsia" w:ascii="宋体" w:hAnsi="宋体" w:eastAsia="宋体" w:cs="Times New Roman"/>
                <w:color w:val="000000"/>
                <w:spacing w:val="-12"/>
                <w:kern w:val="0"/>
                <w:sz w:val="20"/>
                <w:szCs w:val="20"/>
              </w:rPr>
              <w:t>万元、</w:t>
            </w:r>
            <w:r>
              <w:rPr>
                <w:rFonts w:ascii="Times New Roman" w:hAnsi="Times New Roman" w:eastAsia="宋体" w:cs="Times New Roman"/>
                <w:color w:val="000000"/>
                <w:spacing w:val="-12"/>
                <w:kern w:val="0"/>
                <w:sz w:val="20"/>
                <w:szCs w:val="20"/>
              </w:rPr>
              <w:t>20</w:t>
            </w:r>
            <w:r>
              <w:rPr>
                <w:rFonts w:hint="eastAsia" w:ascii="宋体" w:hAnsi="宋体" w:eastAsia="宋体" w:cs="Times New Roman"/>
                <w:color w:val="000000"/>
                <w:spacing w:val="-12"/>
                <w:kern w:val="0"/>
                <w:sz w:val="20"/>
                <w:szCs w:val="20"/>
              </w:rPr>
              <w:t>万元、</w:t>
            </w:r>
            <w:r>
              <w:rPr>
                <w:rFonts w:ascii="Times New Roman" w:hAnsi="Times New Roman" w:eastAsia="宋体" w:cs="Times New Roman"/>
                <w:color w:val="000000"/>
                <w:spacing w:val="-12"/>
                <w:kern w:val="0"/>
                <w:sz w:val="20"/>
                <w:szCs w:val="20"/>
              </w:rPr>
              <w:t>30</w:t>
            </w:r>
            <w:r>
              <w:rPr>
                <w:rFonts w:hint="eastAsia" w:ascii="宋体" w:hAnsi="宋体" w:eastAsia="宋体" w:cs="Times New Roman"/>
                <w:color w:val="000000"/>
                <w:spacing w:val="-12"/>
                <w:kern w:val="0"/>
                <w:sz w:val="20"/>
                <w:szCs w:val="20"/>
              </w:rPr>
              <w:t>万元，工作满五年业绩突出者给予最高</w:t>
            </w:r>
            <w:r>
              <w:rPr>
                <w:rFonts w:ascii="Times New Roman" w:hAnsi="Times New Roman" w:eastAsia="宋体" w:cs="Times New Roman"/>
                <w:color w:val="000000"/>
                <w:spacing w:val="-12"/>
                <w:kern w:val="0"/>
                <w:sz w:val="20"/>
                <w:szCs w:val="20"/>
              </w:rPr>
              <w:t>100</w:t>
            </w:r>
            <w:r>
              <w:rPr>
                <w:rFonts w:hint="eastAsia" w:ascii="宋体" w:hAnsi="宋体" w:eastAsia="宋体" w:cs="Times New Roman"/>
                <w:color w:val="000000"/>
                <w:spacing w:val="-12"/>
                <w:kern w:val="0"/>
                <w:sz w:val="20"/>
                <w:szCs w:val="20"/>
              </w:rPr>
              <w:t>万元优才补贴（含五年内的奖金）。</w:t>
            </w:r>
          </w:p>
        </w:tc>
      </w:tr>
      <w:tr>
        <w:tblPrEx>
          <w:tblCellMar>
            <w:top w:w="0" w:type="dxa"/>
            <w:left w:w="108" w:type="dxa"/>
            <w:bottom w:w="0" w:type="dxa"/>
            <w:right w:w="108" w:type="dxa"/>
          </w:tblCellMar>
        </w:tblPrEx>
        <w:trPr>
          <w:trHeight w:val="964"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6C-2</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宋体" w:hAnsi="宋体" w:eastAsia="宋体" w:cs="宋体"/>
                <w:kern w:val="0"/>
                <w:sz w:val="20"/>
                <w:szCs w:val="20"/>
              </w:rPr>
            </w:pPr>
            <w:r>
              <w:rPr>
                <w:rFonts w:hint="eastAsia" w:ascii="宋体" w:hAnsi="宋体" w:eastAsia="宋体" w:cs="宋体"/>
                <w:kern w:val="0"/>
                <w:sz w:val="20"/>
                <w:szCs w:val="20"/>
              </w:rPr>
              <w:t>从事高中化学竞赛教学及管理工作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964"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6C-3</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从事高中物理竞赛教学及管理工作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964"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6C-4</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宋体" w:hAnsi="宋体" w:eastAsia="宋体" w:cs="宋体"/>
                <w:kern w:val="0"/>
                <w:sz w:val="20"/>
                <w:szCs w:val="20"/>
              </w:rPr>
            </w:pPr>
            <w:r>
              <w:rPr>
                <w:rFonts w:hint="eastAsia" w:ascii="宋体" w:hAnsi="宋体" w:eastAsia="宋体" w:cs="宋体"/>
                <w:kern w:val="0"/>
                <w:sz w:val="20"/>
                <w:szCs w:val="20"/>
              </w:rPr>
              <w:t>从事高中生物竞赛教学及管理工作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不限</w:t>
            </w:r>
          </w:p>
        </w:tc>
        <w:tc>
          <w:tcPr>
            <w:tcW w:w="849"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single" w:color="auto" w:sz="4" w:space="0"/>
              <w:left w:val="single" w:color="auto" w:sz="4" w:space="0"/>
              <w:bottom w:val="single" w:color="auto" w:sz="4"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single" w:color="auto" w:sz="4" w:space="0"/>
              <w:left w:val="single" w:color="auto" w:sz="4" w:space="0"/>
              <w:bottom w:val="single" w:color="auto" w:sz="4"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restart"/>
            <w:tcBorders>
              <w:top w:val="nil"/>
              <w:left w:val="single" w:color="auto" w:sz="4" w:space="0"/>
              <w:bottom w:val="single" w:color="000000"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江苏省姜堰中学等</w:t>
            </w:r>
            <w:r>
              <w:rPr>
                <w:rFonts w:hint="eastAsia" w:ascii="Times New Roman" w:hAnsi="Times New Roman" w:eastAsia="宋体" w:cs="宋体"/>
                <w:kern w:val="0"/>
                <w:sz w:val="20"/>
                <w:szCs w:val="20"/>
              </w:rPr>
              <w:t>3</w:t>
            </w:r>
            <w:r>
              <w:rPr>
                <w:rFonts w:hint="eastAsia" w:ascii="宋体" w:hAnsi="宋体" w:eastAsia="宋体" w:cs="宋体"/>
                <w:kern w:val="0"/>
                <w:sz w:val="20"/>
                <w:szCs w:val="20"/>
              </w:rPr>
              <w:t>家城区四星级高中</w:t>
            </w: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6C-5</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宋体" w:hAnsi="宋体" w:eastAsia="宋体" w:cs="宋体"/>
                <w:kern w:val="0"/>
                <w:sz w:val="20"/>
                <w:szCs w:val="20"/>
              </w:rPr>
            </w:pPr>
            <w:r>
              <w:rPr>
                <w:rFonts w:hint="eastAsia" w:ascii="宋体" w:hAnsi="宋体" w:eastAsia="宋体" w:cs="宋体"/>
                <w:kern w:val="0"/>
                <w:sz w:val="20"/>
                <w:szCs w:val="20"/>
              </w:rPr>
              <w:t>从事高中语文教学及管理工作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语文及相关专业</w:t>
            </w:r>
          </w:p>
        </w:tc>
        <w:tc>
          <w:tcPr>
            <w:tcW w:w="849" w:type="pct"/>
            <w:vMerge w:val="restart"/>
            <w:tcBorders>
              <w:top w:val="nil"/>
              <w:left w:val="single" w:color="auto" w:sz="4" w:space="0"/>
              <w:bottom w:val="single" w:color="000000"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应具备以下条件之一：</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1</w:t>
            </w:r>
            <w:r>
              <w:rPr>
                <w:rFonts w:hint="eastAsia" w:ascii="宋体" w:hAnsi="宋体" w:eastAsia="宋体" w:cs="宋体"/>
                <w:kern w:val="0"/>
                <w:sz w:val="20"/>
                <w:szCs w:val="20"/>
              </w:rPr>
              <w:t>.第一轮“一流大学”建设高校全日制本科及以上学历毕业生</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br w:type="textWrapping"/>
            </w:r>
            <w:r>
              <w:rPr>
                <w:rFonts w:hint="eastAsia" w:ascii="Times New Roman" w:hAnsi="Times New Roman" w:eastAsia="宋体" w:cs="宋体"/>
                <w:kern w:val="0"/>
                <w:sz w:val="20"/>
                <w:szCs w:val="20"/>
              </w:rPr>
              <w:t>2</w:t>
            </w:r>
            <w:r>
              <w:rPr>
                <w:rFonts w:hint="eastAsia" w:ascii="宋体" w:hAnsi="宋体" w:eastAsia="宋体" w:cs="宋体"/>
                <w:kern w:val="0"/>
                <w:sz w:val="20"/>
                <w:szCs w:val="20"/>
              </w:rPr>
              <w:t>.第二轮“双一流”建设高校全日制硕士研究生及以上学历毕业生</w:t>
            </w:r>
            <w:r>
              <w:rPr>
                <w:rFonts w:hint="eastAsia" w:ascii="宋体" w:hAnsi="宋体" w:eastAsia="宋体" w:cs="宋体"/>
                <w:kern w:val="0"/>
                <w:sz w:val="20"/>
                <w:szCs w:val="20"/>
                <w:lang w:val="en-US" w:eastAsia="zh-CN"/>
              </w:rPr>
              <w:t>;</w:t>
            </w:r>
          </w:p>
          <w:p>
            <w:pPr>
              <w:widowControl/>
              <w:spacing w:line="240" w:lineRule="exact"/>
              <w:jc w:val="left"/>
              <w:rPr>
                <w:rFonts w:ascii="宋体" w:hAnsi="宋体" w:eastAsia="宋体" w:cs="宋体"/>
                <w:kern w:val="0"/>
                <w:sz w:val="20"/>
                <w:szCs w:val="20"/>
              </w:rPr>
            </w:pPr>
            <w:r>
              <w:rPr>
                <w:rFonts w:hint="eastAsia" w:ascii="Times New Roman" w:hAnsi="Times New Roman" w:eastAsia="宋体" w:cs="宋体"/>
                <w:kern w:val="0"/>
                <w:sz w:val="20"/>
                <w:szCs w:val="20"/>
              </w:rPr>
              <w:t>3</w:t>
            </w:r>
            <w:r>
              <w:rPr>
                <w:rFonts w:hint="eastAsia" w:ascii="宋体" w:hAnsi="宋体" w:eastAsia="宋体" w:cs="宋体"/>
                <w:kern w:val="0"/>
                <w:sz w:val="20"/>
                <w:szCs w:val="20"/>
              </w:rPr>
              <w:t>.最新世界大学排名榜单（</w:t>
            </w:r>
            <w:r>
              <w:rPr>
                <w:rFonts w:hint="eastAsia" w:ascii="Times New Roman" w:hAnsi="Times New Roman" w:eastAsia="宋体" w:cs="宋体"/>
                <w:kern w:val="0"/>
                <w:sz w:val="20"/>
                <w:szCs w:val="20"/>
              </w:rPr>
              <w:t>QS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THE</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NEWS</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ARWU</w:t>
            </w:r>
            <w:r>
              <w:rPr>
                <w:rFonts w:hint="eastAsia" w:ascii="宋体" w:hAnsi="宋体" w:eastAsia="宋体" w:cs="宋体"/>
                <w:kern w:val="0"/>
                <w:sz w:val="20"/>
                <w:szCs w:val="20"/>
              </w:rPr>
              <w:t>、</w:t>
            </w:r>
            <w:r>
              <w:rPr>
                <w:rFonts w:hint="eastAsia" w:ascii="Times New Roman" w:hAnsi="Times New Roman" w:eastAsia="宋体" w:cs="宋体"/>
                <w:kern w:val="0"/>
                <w:sz w:val="20"/>
                <w:szCs w:val="20"/>
              </w:rPr>
              <w:t>CWUR</w:t>
            </w:r>
            <w:r>
              <w:rPr>
                <w:rFonts w:hint="eastAsia" w:ascii="宋体" w:hAnsi="宋体" w:eastAsia="宋体" w:cs="宋体"/>
                <w:kern w:val="0"/>
                <w:sz w:val="20"/>
                <w:szCs w:val="20"/>
              </w:rPr>
              <w:t>）前</w:t>
            </w:r>
            <w:r>
              <w:rPr>
                <w:rFonts w:hint="eastAsia" w:ascii="Times New Roman" w:hAnsi="Times New Roman" w:eastAsia="宋体" w:cs="宋体"/>
                <w:kern w:val="0"/>
                <w:sz w:val="20"/>
                <w:szCs w:val="20"/>
              </w:rPr>
              <w:t>100</w:t>
            </w:r>
            <w:r>
              <w:rPr>
                <w:rFonts w:hint="eastAsia" w:ascii="宋体" w:hAnsi="宋体" w:eastAsia="宋体" w:cs="宋体"/>
                <w:kern w:val="0"/>
                <w:sz w:val="20"/>
                <w:szCs w:val="20"/>
              </w:rPr>
              <w:t>名国（境）外高校的全日制硕士研究生及以上学历毕业生。</w:t>
            </w: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restart"/>
            <w:tcBorders>
              <w:top w:val="nil"/>
              <w:left w:val="single" w:color="auto" w:sz="4" w:space="0"/>
              <w:bottom w:val="single" w:color="000000"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276" w:type="pct"/>
            <w:vMerge w:val="restart"/>
            <w:tcBorders>
              <w:top w:val="nil"/>
              <w:left w:val="single" w:color="auto" w:sz="4" w:space="0"/>
              <w:bottom w:val="single" w:color="000000"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笔试+说课</w:t>
            </w:r>
          </w:p>
        </w:tc>
        <w:tc>
          <w:tcPr>
            <w:tcW w:w="561" w:type="pct"/>
            <w:vMerge w:val="restart"/>
            <w:tcBorders>
              <w:top w:val="nil"/>
              <w:left w:val="single" w:color="auto" w:sz="4" w:space="0"/>
              <w:bottom w:val="single" w:color="000000" w:sz="8" w:space="0"/>
              <w:right w:val="single" w:color="auto" w:sz="8" w:space="0"/>
            </w:tcBorders>
            <w:shd w:val="clear" w:color="auto" w:fill="auto"/>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工资待遇不低于同类四星级高中教师水平。</w:t>
            </w:r>
          </w:p>
        </w:tc>
      </w:tr>
      <w:tr>
        <w:tblPrEx>
          <w:tblCellMar>
            <w:top w:w="0" w:type="dxa"/>
            <w:left w:w="108" w:type="dxa"/>
            <w:bottom w:w="0" w:type="dxa"/>
            <w:right w:w="108" w:type="dxa"/>
          </w:tblCellMar>
        </w:tblPrEx>
        <w:trPr>
          <w:trHeight w:val="340"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6C-6</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从事高中数学教学及管理工作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本科</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数学及相关专业</w:t>
            </w:r>
          </w:p>
        </w:tc>
        <w:tc>
          <w:tcPr>
            <w:tcW w:w="849"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nil"/>
              <w:left w:val="single" w:color="auto" w:sz="4" w:space="0"/>
              <w:bottom w:val="single" w:color="000000"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6C-7</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从事高中物理教学及管理工作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物理及相关专业</w:t>
            </w:r>
          </w:p>
        </w:tc>
        <w:tc>
          <w:tcPr>
            <w:tcW w:w="849"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nil"/>
              <w:left w:val="single" w:color="auto" w:sz="4" w:space="0"/>
              <w:bottom w:val="single" w:color="000000"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6C-8</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从事高中化学教学及管理工作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化学及相关专业</w:t>
            </w:r>
          </w:p>
        </w:tc>
        <w:tc>
          <w:tcPr>
            <w:tcW w:w="849"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nil"/>
              <w:left w:val="single" w:color="auto" w:sz="4" w:space="0"/>
              <w:bottom w:val="single" w:color="000000"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285" w:type="pct"/>
            <w:tcBorders>
              <w:top w:val="nil"/>
              <w:left w:val="single" w:color="auto" w:sz="8" w:space="0"/>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6C-9</w:t>
            </w:r>
          </w:p>
        </w:tc>
        <w:tc>
          <w:tcPr>
            <w:tcW w:w="369"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从事高中英语教学及管理工作</w:t>
            </w:r>
          </w:p>
        </w:tc>
        <w:tc>
          <w:tcPr>
            <w:tcW w:w="185"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4"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英语及相关专业</w:t>
            </w:r>
          </w:p>
        </w:tc>
        <w:tc>
          <w:tcPr>
            <w:tcW w:w="849"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nil"/>
              <w:left w:val="single" w:color="auto" w:sz="4" w:space="0"/>
              <w:bottom w:val="single" w:color="000000"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340" w:hRule="atLeast"/>
          <w:jc w:val="center"/>
        </w:trPr>
        <w:tc>
          <w:tcPr>
            <w:tcW w:w="285" w:type="pct"/>
            <w:tcBorders>
              <w:top w:val="nil"/>
              <w:left w:val="single" w:color="auto" w:sz="8" w:space="0"/>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hint="eastAsia" w:ascii="宋体" w:hAnsi="宋体" w:eastAsia="宋体" w:cs="Times New Roman"/>
                <w:color w:val="000000"/>
                <w:kern w:val="0"/>
                <w:sz w:val="20"/>
                <w:szCs w:val="20"/>
              </w:rPr>
              <w:t>姜堰区</w:t>
            </w:r>
          </w:p>
        </w:tc>
        <w:tc>
          <w:tcPr>
            <w:tcW w:w="191" w:type="pct"/>
            <w:tcBorders>
              <w:top w:val="nil"/>
              <w:left w:val="nil"/>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w:t>
            </w:r>
          </w:p>
        </w:tc>
        <w:tc>
          <w:tcPr>
            <w:tcW w:w="31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230" w:type="pct"/>
            <w:tcBorders>
              <w:top w:val="nil"/>
              <w:left w:val="nil"/>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6C-10</w:t>
            </w:r>
          </w:p>
        </w:tc>
        <w:tc>
          <w:tcPr>
            <w:tcW w:w="369" w:type="pct"/>
            <w:tcBorders>
              <w:top w:val="nil"/>
              <w:left w:val="nil"/>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0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从事高中历史教学及管理工作</w:t>
            </w:r>
          </w:p>
        </w:tc>
        <w:tc>
          <w:tcPr>
            <w:tcW w:w="185" w:type="pct"/>
            <w:tcBorders>
              <w:top w:val="nil"/>
              <w:left w:val="nil"/>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23" w:type="pct"/>
            <w:tcBorders>
              <w:top w:val="nil"/>
              <w:left w:val="nil"/>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本科</w:t>
            </w:r>
          </w:p>
          <w:p>
            <w:pPr>
              <w:widowControl/>
              <w:spacing w:line="240" w:lineRule="exact"/>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及以上</w:t>
            </w:r>
          </w:p>
        </w:tc>
        <w:tc>
          <w:tcPr>
            <w:tcW w:w="672" w:type="pct"/>
            <w:tcBorders>
              <w:top w:val="nil"/>
              <w:left w:val="nil"/>
              <w:bottom w:val="single" w:color="auto" w:sz="8" w:space="0"/>
              <w:right w:val="single" w:color="auto" w:sz="4" w:space="0"/>
            </w:tcBorders>
            <w:shd w:val="clear" w:color="auto" w:fill="auto"/>
            <w:tcMar>
              <w:top w:w="28" w:type="dxa"/>
              <w:left w:w="57" w:type="dxa"/>
              <w:bottom w:w="28" w:type="dxa"/>
              <w:right w:w="57" w:type="dxa"/>
            </w:tcMar>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历史及相关专业</w:t>
            </w:r>
          </w:p>
        </w:tc>
        <w:tc>
          <w:tcPr>
            <w:tcW w:w="849"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53" w:type="pct"/>
            <w:vMerge w:val="continue"/>
            <w:tcBorders>
              <w:top w:val="single" w:color="auto" w:sz="4" w:space="0"/>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185"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kern w:val="0"/>
                <w:sz w:val="20"/>
                <w:szCs w:val="20"/>
              </w:rPr>
            </w:pPr>
          </w:p>
        </w:tc>
        <w:tc>
          <w:tcPr>
            <w:tcW w:w="276" w:type="pct"/>
            <w:vMerge w:val="continue"/>
            <w:tcBorders>
              <w:top w:val="nil"/>
              <w:left w:val="single" w:color="auto" w:sz="4" w:space="0"/>
              <w:bottom w:val="single" w:color="000000" w:sz="8" w:space="0"/>
              <w:right w:val="single" w:color="auto" w:sz="4" w:space="0"/>
            </w:tcBorders>
            <w:tcMar>
              <w:top w:w="28" w:type="dxa"/>
              <w:left w:w="57" w:type="dxa"/>
              <w:bottom w:w="28" w:type="dxa"/>
              <w:right w:w="57" w:type="dxa"/>
            </w:tcMar>
            <w:vAlign w:val="center"/>
          </w:tcPr>
          <w:p>
            <w:pPr>
              <w:widowControl/>
              <w:spacing w:line="240" w:lineRule="exact"/>
              <w:jc w:val="left"/>
              <w:rPr>
                <w:rFonts w:ascii="宋体" w:hAnsi="宋体" w:eastAsia="宋体" w:cs="宋体"/>
                <w:kern w:val="0"/>
                <w:sz w:val="20"/>
                <w:szCs w:val="20"/>
              </w:rPr>
            </w:pPr>
          </w:p>
        </w:tc>
        <w:tc>
          <w:tcPr>
            <w:tcW w:w="561" w:type="pct"/>
            <w:vMerge w:val="continue"/>
            <w:tcBorders>
              <w:top w:val="nil"/>
              <w:left w:val="single" w:color="auto" w:sz="4" w:space="0"/>
              <w:bottom w:val="single" w:color="000000" w:sz="8" w:space="0"/>
              <w:right w:val="single" w:color="auto" w:sz="8" w:space="0"/>
            </w:tcBorders>
            <w:tcMar>
              <w:top w:w="28" w:type="dxa"/>
              <w:left w:w="57" w:type="dxa"/>
              <w:bottom w:w="28" w:type="dxa"/>
              <w:right w:w="57" w:type="dxa"/>
            </w:tcMar>
            <w:vAlign w:val="center"/>
          </w:tcPr>
          <w:p>
            <w:pPr>
              <w:widowControl/>
              <w:spacing w:line="240" w:lineRule="exact"/>
              <w:jc w:val="left"/>
              <w:rPr>
                <w:rFonts w:ascii="Times New Roman" w:hAnsi="Times New Roman" w:eastAsia="宋体" w:cs="Times New Roman"/>
                <w:color w:val="000000"/>
                <w:kern w:val="0"/>
                <w:sz w:val="20"/>
                <w:szCs w:val="20"/>
              </w:rPr>
            </w:pPr>
          </w:p>
        </w:tc>
      </w:tr>
    </w:tbl>
    <w:p>
      <w:pPr>
        <w:spacing w:line="40" w:lineRule="exact"/>
      </w:pPr>
    </w:p>
    <w:sectPr>
      <w:footerReference r:id="rId3" w:type="default"/>
      <w:pgSz w:w="16838" w:h="11906" w:orient="landscape"/>
      <w:pgMar w:top="1304" w:right="907" w:bottom="1134" w:left="907" w:header="851" w:footer="737"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889126"/>
      <w:docPartObj>
        <w:docPartGallery w:val="autotext"/>
      </w:docPartObj>
    </w:sdtPr>
    <w:sdtContent>
      <w:p>
        <w:pPr>
          <w:pStyle w:val="2"/>
          <w:jc w:val="center"/>
        </w:pPr>
        <w:r>
          <w:rPr>
            <w:rFonts w:hint="eastAsia" w:ascii="仿宋_GB2312" w:hAnsi="Times New Roman" w:eastAsia="仿宋_GB2312"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r>
          <w:rPr>
            <w:rFonts w:hint="eastAsia" w:ascii="仿宋_GB2312" w:hAnsi="Times New Roman" w:eastAsia="仿宋_GB2312" w:cs="Times New Roman"/>
            <w:sz w:val="21"/>
            <w:szCs w:val="21"/>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B59F"/>
    <w:multiLevelType w:val="singleLevel"/>
    <w:tmpl w:val="802DB59F"/>
    <w:lvl w:ilvl="0" w:tentative="0">
      <w:start w:val="1"/>
      <w:numFmt w:val="decimal"/>
      <w:lvlText w:val="%1."/>
      <w:lvlJc w:val="left"/>
      <w:pPr>
        <w:tabs>
          <w:tab w:val="left" w:pos="312"/>
        </w:tabs>
      </w:pPr>
    </w:lvl>
  </w:abstractNum>
  <w:abstractNum w:abstractNumId="1">
    <w:nsid w:val="393C2F2E"/>
    <w:multiLevelType w:val="singleLevel"/>
    <w:tmpl w:val="393C2F2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1NDQxYmI5MmVkY2Q5YmEzMTM3ODhiNDkxYjNkYzgifQ=="/>
  </w:docVars>
  <w:rsids>
    <w:rsidRoot w:val="005C00C7"/>
    <w:rsid w:val="00042F19"/>
    <w:rsid w:val="00044EF2"/>
    <w:rsid w:val="000C208B"/>
    <w:rsid w:val="00170E5E"/>
    <w:rsid w:val="00207EE5"/>
    <w:rsid w:val="00263E25"/>
    <w:rsid w:val="002670A4"/>
    <w:rsid w:val="002B5D04"/>
    <w:rsid w:val="002F5D02"/>
    <w:rsid w:val="00386753"/>
    <w:rsid w:val="004C3C64"/>
    <w:rsid w:val="004D4D31"/>
    <w:rsid w:val="00504D49"/>
    <w:rsid w:val="00530138"/>
    <w:rsid w:val="0056208D"/>
    <w:rsid w:val="005C00C7"/>
    <w:rsid w:val="005F01BB"/>
    <w:rsid w:val="0064057F"/>
    <w:rsid w:val="0064621C"/>
    <w:rsid w:val="006B4F71"/>
    <w:rsid w:val="00756309"/>
    <w:rsid w:val="00770B35"/>
    <w:rsid w:val="007A3406"/>
    <w:rsid w:val="007E5E29"/>
    <w:rsid w:val="00815E0A"/>
    <w:rsid w:val="00834870"/>
    <w:rsid w:val="00855D3A"/>
    <w:rsid w:val="00857482"/>
    <w:rsid w:val="008A3FBC"/>
    <w:rsid w:val="008F6EB2"/>
    <w:rsid w:val="009049D8"/>
    <w:rsid w:val="00954F07"/>
    <w:rsid w:val="00975D66"/>
    <w:rsid w:val="009A4DC9"/>
    <w:rsid w:val="009C096C"/>
    <w:rsid w:val="009C508D"/>
    <w:rsid w:val="009D3D95"/>
    <w:rsid w:val="00A85854"/>
    <w:rsid w:val="00AC6BD8"/>
    <w:rsid w:val="00AD558A"/>
    <w:rsid w:val="00B66E2E"/>
    <w:rsid w:val="00BB3006"/>
    <w:rsid w:val="00BE052D"/>
    <w:rsid w:val="00BE44A5"/>
    <w:rsid w:val="00C35BE6"/>
    <w:rsid w:val="00C465ED"/>
    <w:rsid w:val="00CC1A08"/>
    <w:rsid w:val="00CC7F97"/>
    <w:rsid w:val="00CF491B"/>
    <w:rsid w:val="00D760CD"/>
    <w:rsid w:val="00DA3597"/>
    <w:rsid w:val="00DC5417"/>
    <w:rsid w:val="00E10468"/>
    <w:rsid w:val="00E458E4"/>
    <w:rsid w:val="00ED4008"/>
    <w:rsid w:val="00EF7950"/>
    <w:rsid w:val="00F25637"/>
    <w:rsid w:val="00F64B05"/>
    <w:rsid w:val="00F7025C"/>
    <w:rsid w:val="00FC4D8D"/>
    <w:rsid w:val="00FE4AEF"/>
    <w:rsid w:val="01115B19"/>
    <w:rsid w:val="01227D26"/>
    <w:rsid w:val="012375FA"/>
    <w:rsid w:val="014852B3"/>
    <w:rsid w:val="014C6B51"/>
    <w:rsid w:val="0159301C"/>
    <w:rsid w:val="016043AA"/>
    <w:rsid w:val="016A206F"/>
    <w:rsid w:val="01747E56"/>
    <w:rsid w:val="017936BE"/>
    <w:rsid w:val="01C012ED"/>
    <w:rsid w:val="01CE57B8"/>
    <w:rsid w:val="01E44FDB"/>
    <w:rsid w:val="01EF43BB"/>
    <w:rsid w:val="01F340A4"/>
    <w:rsid w:val="020411DA"/>
    <w:rsid w:val="020F7B7E"/>
    <w:rsid w:val="021D04ED"/>
    <w:rsid w:val="02223D56"/>
    <w:rsid w:val="02313F99"/>
    <w:rsid w:val="02385327"/>
    <w:rsid w:val="02532161"/>
    <w:rsid w:val="02775E4F"/>
    <w:rsid w:val="0281282A"/>
    <w:rsid w:val="028B5457"/>
    <w:rsid w:val="02CD5A6F"/>
    <w:rsid w:val="02CF4893"/>
    <w:rsid w:val="02DB5D1B"/>
    <w:rsid w:val="02E1151B"/>
    <w:rsid w:val="02EB239A"/>
    <w:rsid w:val="02F94AB6"/>
    <w:rsid w:val="02FF7BF3"/>
    <w:rsid w:val="036C34DA"/>
    <w:rsid w:val="0371289F"/>
    <w:rsid w:val="0374238F"/>
    <w:rsid w:val="03791753"/>
    <w:rsid w:val="03887BE8"/>
    <w:rsid w:val="03BB6210"/>
    <w:rsid w:val="0402799B"/>
    <w:rsid w:val="04071455"/>
    <w:rsid w:val="04074FB1"/>
    <w:rsid w:val="040E4592"/>
    <w:rsid w:val="041D6F99"/>
    <w:rsid w:val="0457222B"/>
    <w:rsid w:val="046B5540"/>
    <w:rsid w:val="04763EE5"/>
    <w:rsid w:val="048246C2"/>
    <w:rsid w:val="04B50EB1"/>
    <w:rsid w:val="04BA64C7"/>
    <w:rsid w:val="04EE6171"/>
    <w:rsid w:val="04F274F3"/>
    <w:rsid w:val="05263B5D"/>
    <w:rsid w:val="05614B95"/>
    <w:rsid w:val="05685F23"/>
    <w:rsid w:val="05790131"/>
    <w:rsid w:val="057B7A05"/>
    <w:rsid w:val="057C552B"/>
    <w:rsid w:val="058746C5"/>
    <w:rsid w:val="058F1702"/>
    <w:rsid w:val="059B00A7"/>
    <w:rsid w:val="05BB42A5"/>
    <w:rsid w:val="05CF5FA2"/>
    <w:rsid w:val="05F872A7"/>
    <w:rsid w:val="060754D4"/>
    <w:rsid w:val="061E4834"/>
    <w:rsid w:val="06473D8B"/>
    <w:rsid w:val="064918B1"/>
    <w:rsid w:val="06532730"/>
    <w:rsid w:val="0676641E"/>
    <w:rsid w:val="068B1EC9"/>
    <w:rsid w:val="06952D48"/>
    <w:rsid w:val="06AD62E4"/>
    <w:rsid w:val="06BC6527"/>
    <w:rsid w:val="06C61153"/>
    <w:rsid w:val="06C673A5"/>
    <w:rsid w:val="06F7130D"/>
    <w:rsid w:val="0708176C"/>
    <w:rsid w:val="0728596A"/>
    <w:rsid w:val="074E2EF7"/>
    <w:rsid w:val="076A5F83"/>
    <w:rsid w:val="077706A0"/>
    <w:rsid w:val="0797664C"/>
    <w:rsid w:val="079E5C2C"/>
    <w:rsid w:val="07D63618"/>
    <w:rsid w:val="07DC0503"/>
    <w:rsid w:val="07FE491D"/>
    <w:rsid w:val="08147C9D"/>
    <w:rsid w:val="081859DF"/>
    <w:rsid w:val="08193505"/>
    <w:rsid w:val="082F0F7A"/>
    <w:rsid w:val="08314CF2"/>
    <w:rsid w:val="085207C5"/>
    <w:rsid w:val="08536A17"/>
    <w:rsid w:val="085409E1"/>
    <w:rsid w:val="086230FE"/>
    <w:rsid w:val="087B41C0"/>
    <w:rsid w:val="08892439"/>
    <w:rsid w:val="088C1F29"/>
    <w:rsid w:val="088F37C7"/>
    <w:rsid w:val="08A47272"/>
    <w:rsid w:val="08AA0601"/>
    <w:rsid w:val="08C47915"/>
    <w:rsid w:val="08CC0577"/>
    <w:rsid w:val="08D31906"/>
    <w:rsid w:val="09016473"/>
    <w:rsid w:val="091066B6"/>
    <w:rsid w:val="09410F65"/>
    <w:rsid w:val="09487667"/>
    <w:rsid w:val="0970184A"/>
    <w:rsid w:val="09A3752A"/>
    <w:rsid w:val="09CF031F"/>
    <w:rsid w:val="0A0F2E11"/>
    <w:rsid w:val="0A2170A6"/>
    <w:rsid w:val="0A283ED3"/>
    <w:rsid w:val="0A2F5262"/>
    <w:rsid w:val="0A2F7010"/>
    <w:rsid w:val="0A3E7253"/>
    <w:rsid w:val="0A570314"/>
    <w:rsid w:val="0A9D666F"/>
    <w:rsid w:val="0AA25A34"/>
    <w:rsid w:val="0AA572D2"/>
    <w:rsid w:val="0AB539B9"/>
    <w:rsid w:val="0AC32EC6"/>
    <w:rsid w:val="0ACC485F"/>
    <w:rsid w:val="0AD61B81"/>
    <w:rsid w:val="0AFB5144"/>
    <w:rsid w:val="0B073AE9"/>
    <w:rsid w:val="0B1A1A6E"/>
    <w:rsid w:val="0B246449"/>
    <w:rsid w:val="0B3D39AE"/>
    <w:rsid w:val="0B3F14D4"/>
    <w:rsid w:val="0B4A5DF3"/>
    <w:rsid w:val="0B70168E"/>
    <w:rsid w:val="0B901D30"/>
    <w:rsid w:val="0BA7412C"/>
    <w:rsid w:val="0BAD4690"/>
    <w:rsid w:val="0BB772BD"/>
    <w:rsid w:val="0BC47C2C"/>
    <w:rsid w:val="0BCB1EE9"/>
    <w:rsid w:val="0BD55995"/>
    <w:rsid w:val="0BDC6D23"/>
    <w:rsid w:val="0C012C2E"/>
    <w:rsid w:val="0C0A1AE2"/>
    <w:rsid w:val="0C0B585A"/>
    <w:rsid w:val="0C1464BD"/>
    <w:rsid w:val="0C2A7A8F"/>
    <w:rsid w:val="0C3373B0"/>
    <w:rsid w:val="0C3D1EB8"/>
    <w:rsid w:val="0C607954"/>
    <w:rsid w:val="0C662A91"/>
    <w:rsid w:val="0C67656B"/>
    <w:rsid w:val="0C790A16"/>
    <w:rsid w:val="0C803B53"/>
    <w:rsid w:val="0C880C59"/>
    <w:rsid w:val="0CA37841"/>
    <w:rsid w:val="0CAC0DEC"/>
    <w:rsid w:val="0CC06645"/>
    <w:rsid w:val="0CC46135"/>
    <w:rsid w:val="0CC779D3"/>
    <w:rsid w:val="0CC92F9D"/>
    <w:rsid w:val="0CD8573D"/>
    <w:rsid w:val="0CF462EF"/>
    <w:rsid w:val="0D124B42"/>
    <w:rsid w:val="0D3D7C96"/>
    <w:rsid w:val="0D4234FE"/>
    <w:rsid w:val="0D466B4A"/>
    <w:rsid w:val="0D470B14"/>
    <w:rsid w:val="0D841421"/>
    <w:rsid w:val="0D887163"/>
    <w:rsid w:val="0D9378B6"/>
    <w:rsid w:val="0D98311E"/>
    <w:rsid w:val="0DAE2941"/>
    <w:rsid w:val="0DB37F58"/>
    <w:rsid w:val="0DDC74AE"/>
    <w:rsid w:val="0DF52C6F"/>
    <w:rsid w:val="0E06277D"/>
    <w:rsid w:val="0E100F06"/>
    <w:rsid w:val="0E124C7E"/>
    <w:rsid w:val="0E2449B2"/>
    <w:rsid w:val="0E2F5830"/>
    <w:rsid w:val="0E455054"/>
    <w:rsid w:val="0E5057A7"/>
    <w:rsid w:val="0E5C239D"/>
    <w:rsid w:val="0E6059EA"/>
    <w:rsid w:val="0E6179B4"/>
    <w:rsid w:val="0E686F94"/>
    <w:rsid w:val="0E9E4764"/>
    <w:rsid w:val="0EBE4E06"/>
    <w:rsid w:val="0ECA53D4"/>
    <w:rsid w:val="0ECA5559"/>
    <w:rsid w:val="0ED4462A"/>
    <w:rsid w:val="0F2B0274"/>
    <w:rsid w:val="0F3D3F7D"/>
    <w:rsid w:val="0F5D461F"/>
    <w:rsid w:val="0F6C6610"/>
    <w:rsid w:val="0F804919"/>
    <w:rsid w:val="0F8971C2"/>
    <w:rsid w:val="0F9B0CA3"/>
    <w:rsid w:val="0FA45DAA"/>
    <w:rsid w:val="0FBD0C1A"/>
    <w:rsid w:val="0FC30926"/>
    <w:rsid w:val="0FD04DF1"/>
    <w:rsid w:val="0FE12B5A"/>
    <w:rsid w:val="0FE4264A"/>
    <w:rsid w:val="101A42BE"/>
    <w:rsid w:val="1021564D"/>
    <w:rsid w:val="103709CC"/>
    <w:rsid w:val="103A56ED"/>
    <w:rsid w:val="1065378B"/>
    <w:rsid w:val="1090632E"/>
    <w:rsid w:val="109408CD"/>
    <w:rsid w:val="10A02A15"/>
    <w:rsid w:val="10B4026F"/>
    <w:rsid w:val="10B4201D"/>
    <w:rsid w:val="10C14D88"/>
    <w:rsid w:val="10C761F4"/>
    <w:rsid w:val="10D97CD5"/>
    <w:rsid w:val="10DB1C9F"/>
    <w:rsid w:val="10F44B0F"/>
    <w:rsid w:val="10FD39C4"/>
    <w:rsid w:val="110034B4"/>
    <w:rsid w:val="110E4329"/>
    <w:rsid w:val="110F7B9B"/>
    <w:rsid w:val="111807FE"/>
    <w:rsid w:val="11270A41"/>
    <w:rsid w:val="11407D54"/>
    <w:rsid w:val="114E06C3"/>
    <w:rsid w:val="11665A0D"/>
    <w:rsid w:val="116752E1"/>
    <w:rsid w:val="116E041E"/>
    <w:rsid w:val="116F23E8"/>
    <w:rsid w:val="117A20C2"/>
    <w:rsid w:val="11963E18"/>
    <w:rsid w:val="11AC0F46"/>
    <w:rsid w:val="11B83D8F"/>
    <w:rsid w:val="11C269BB"/>
    <w:rsid w:val="11E3705D"/>
    <w:rsid w:val="11E42DD6"/>
    <w:rsid w:val="11F8062F"/>
    <w:rsid w:val="123F1DBA"/>
    <w:rsid w:val="125E66E4"/>
    <w:rsid w:val="12654562"/>
    <w:rsid w:val="126F6B43"/>
    <w:rsid w:val="127F665A"/>
    <w:rsid w:val="12891287"/>
    <w:rsid w:val="128D0D77"/>
    <w:rsid w:val="129245E0"/>
    <w:rsid w:val="129F0AAB"/>
    <w:rsid w:val="12A3059B"/>
    <w:rsid w:val="12A72B1B"/>
    <w:rsid w:val="12C34799"/>
    <w:rsid w:val="12CA5B28"/>
    <w:rsid w:val="12D70244"/>
    <w:rsid w:val="12FC5EFD"/>
    <w:rsid w:val="132D4308"/>
    <w:rsid w:val="133B07D3"/>
    <w:rsid w:val="13517FF7"/>
    <w:rsid w:val="1356560D"/>
    <w:rsid w:val="135F0966"/>
    <w:rsid w:val="13631AD8"/>
    <w:rsid w:val="13643080"/>
    <w:rsid w:val="13786942"/>
    <w:rsid w:val="137C18E1"/>
    <w:rsid w:val="13946135"/>
    <w:rsid w:val="139D323C"/>
    <w:rsid w:val="13BB1914"/>
    <w:rsid w:val="13D76B63"/>
    <w:rsid w:val="13DF1AA7"/>
    <w:rsid w:val="13E0137B"/>
    <w:rsid w:val="13E470BD"/>
    <w:rsid w:val="13FD3CDB"/>
    <w:rsid w:val="14072DAB"/>
    <w:rsid w:val="141B23B3"/>
    <w:rsid w:val="141D437D"/>
    <w:rsid w:val="14636234"/>
    <w:rsid w:val="14643D5A"/>
    <w:rsid w:val="14797222"/>
    <w:rsid w:val="14812B5E"/>
    <w:rsid w:val="14A32AD4"/>
    <w:rsid w:val="14BA1BCC"/>
    <w:rsid w:val="14BB6070"/>
    <w:rsid w:val="14C36CD2"/>
    <w:rsid w:val="14EF7AC7"/>
    <w:rsid w:val="15033573"/>
    <w:rsid w:val="15064E11"/>
    <w:rsid w:val="150F1F18"/>
    <w:rsid w:val="151C63E2"/>
    <w:rsid w:val="15211C4B"/>
    <w:rsid w:val="15227E9D"/>
    <w:rsid w:val="1534372C"/>
    <w:rsid w:val="1548367B"/>
    <w:rsid w:val="155913E5"/>
    <w:rsid w:val="15602773"/>
    <w:rsid w:val="158C3568"/>
    <w:rsid w:val="15997A33"/>
    <w:rsid w:val="15A07014"/>
    <w:rsid w:val="15A5287C"/>
    <w:rsid w:val="15A9236C"/>
    <w:rsid w:val="15C54CCC"/>
    <w:rsid w:val="15CE3B81"/>
    <w:rsid w:val="15CF16A7"/>
    <w:rsid w:val="15E213DA"/>
    <w:rsid w:val="16105F47"/>
    <w:rsid w:val="161A0B74"/>
    <w:rsid w:val="161A6DC6"/>
    <w:rsid w:val="16315EBE"/>
    <w:rsid w:val="16322361"/>
    <w:rsid w:val="1647748F"/>
    <w:rsid w:val="165D6CB3"/>
    <w:rsid w:val="168129A1"/>
    <w:rsid w:val="16817409"/>
    <w:rsid w:val="168A5F46"/>
    <w:rsid w:val="169D3553"/>
    <w:rsid w:val="169E79F7"/>
    <w:rsid w:val="16D276A1"/>
    <w:rsid w:val="16D41526"/>
    <w:rsid w:val="16E573D4"/>
    <w:rsid w:val="16F46A71"/>
    <w:rsid w:val="1703785A"/>
    <w:rsid w:val="170D2487"/>
    <w:rsid w:val="171C6B6E"/>
    <w:rsid w:val="171E28E6"/>
    <w:rsid w:val="17253C74"/>
    <w:rsid w:val="172A4DE7"/>
    <w:rsid w:val="17326391"/>
    <w:rsid w:val="17465999"/>
    <w:rsid w:val="17481711"/>
    <w:rsid w:val="17577BA6"/>
    <w:rsid w:val="17944956"/>
    <w:rsid w:val="17966920"/>
    <w:rsid w:val="17A27073"/>
    <w:rsid w:val="17A50911"/>
    <w:rsid w:val="17BD5C5B"/>
    <w:rsid w:val="17D9680D"/>
    <w:rsid w:val="17E4768B"/>
    <w:rsid w:val="180715CC"/>
    <w:rsid w:val="180C0990"/>
    <w:rsid w:val="181635BD"/>
    <w:rsid w:val="18493992"/>
    <w:rsid w:val="18754787"/>
    <w:rsid w:val="187C5B16"/>
    <w:rsid w:val="189A5F9C"/>
    <w:rsid w:val="189B1DE2"/>
    <w:rsid w:val="189E5147"/>
    <w:rsid w:val="18A230A3"/>
    <w:rsid w:val="18A706B9"/>
    <w:rsid w:val="18CB25F9"/>
    <w:rsid w:val="18D07C10"/>
    <w:rsid w:val="18E67433"/>
    <w:rsid w:val="18EF453A"/>
    <w:rsid w:val="18F356AC"/>
    <w:rsid w:val="18F7519C"/>
    <w:rsid w:val="18FE652B"/>
    <w:rsid w:val="19070F6A"/>
    <w:rsid w:val="190D2C12"/>
    <w:rsid w:val="192D0BBE"/>
    <w:rsid w:val="194859F8"/>
    <w:rsid w:val="19540841"/>
    <w:rsid w:val="196A3BC0"/>
    <w:rsid w:val="196C5B8A"/>
    <w:rsid w:val="19726F19"/>
    <w:rsid w:val="198D5B01"/>
    <w:rsid w:val="1990114D"/>
    <w:rsid w:val="19B7492C"/>
    <w:rsid w:val="19F45B80"/>
    <w:rsid w:val="1A004525"/>
    <w:rsid w:val="1A1E49AB"/>
    <w:rsid w:val="1A277D03"/>
    <w:rsid w:val="1A295829"/>
    <w:rsid w:val="1A4A57A0"/>
    <w:rsid w:val="1A597E48"/>
    <w:rsid w:val="1A840CB2"/>
    <w:rsid w:val="1A8962C8"/>
    <w:rsid w:val="1A9C249F"/>
    <w:rsid w:val="1AE856E5"/>
    <w:rsid w:val="1AF220BF"/>
    <w:rsid w:val="1AF37BE5"/>
    <w:rsid w:val="1AFE6CB6"/>
    <w:rsid w:val="1AFF3887"/>
    <w:rsid w:val="1B132036"/>
    <w:rsid w:val="1B261D69"/>
    <w:rsid w:val="1B293607"/>
    <w:rsid w:val="1B300E3A"/>
    <w:rsid w:val="1B55264E"/>
    <w:rsid w:val="1B574618"/>
    <w:rsid w:val="1B75731B"/>
    <w:rsid w:val="1B79458F"/>
    <w:rsid w:val="1B8151F1"/>
    <w:rsid w:val="1B8258B9"/>
    <w:rsid w:val="1B866CAC"/>
    <w:rsid w:val="1BB73659"/>
    <w:rsid w:val="1BDC68CC"/>
    <w:rsid w:val="1BE83DD7"/>
    <w:rsid w:val="1BED0AD9"/>
    <w:rsid w:val="1BEE6D2B"/>
    <w:rsid w:val="1BF81A4A"/>
    <w:rsid w:val="1C161DDD"/>
    <w:rsid w:val="1C295FB5"/>
    <w:rsid w:val="1C4E5A1B"/>
    <w:rsid w:val="1C5B3C94"/>
    <w:rsid w:val="1C623275"/>
    <w:rsid w:val="1C6A2129"/>
    <w:rsid w:val="1C6F14EE"/>
    <w:rsid w:val="1C7A05BE"/>
    <w:rsid w:val="1C850D11"/>
    <w:rsid w:val="1C9E33AA"/>
    <w:rsid w:val="1CB02232"/>
    <w:rsid w:val="1CE26164"/>
    <w:rsid w:val="1D077978"/>
    <w:rsid w:val="1D1502E7"/>
    <w:rsid w:val="1D1F1166"/>
    <w:rsid w:val="1D3958CF"/>
    <w:rsid w:val="1D3C3A18"/>
    <w:rsid w:val="1D3F5364"/>
    <w:rsid w:val="1D554B87"/>
    <w:rsid w:val="1D6152DA"/>
    <w:rsid w:val="1D807E56"/>
    <w:rsid w:val="1D990F18"/>
    <w:rsid w:val="1D9E02DC"/>
    <w:rsid w:val="1D9E652E"/>
    <w:rsid w:val="1DB45D52"/>
    <w:rsid w:val="1DB7314C"/>
    <w:rsid w:val="1DBC69B5"/>
    <w:rsid w:val="1DDA6E3B"/>
    <w:rsid w:val="1DE32193"/>
    <w:rsid w:val="1E081BFA"/>
    <w:rsid w:val="1E195BB5"/>
    <w:rsid w:val="1E37428D"/>
    <w:rsid w:val="1E4744D0"/>
    <w:rsid w:val="1E6A4663"/>
    <w:rsid w:val="1E7B6870"/>
    <w:rsid w:val="1E7E3D05"/>
    <w:rsid w:val="1E8C282B"/>
    <w:rsid w:val="1E8C45D9"/>
    <w:rsid w:val="1E9811D0"/>
    <w:rsid w:val="1E9E0462"/>
    <w:rsid w:val="1EA01E32"/>
    <w:rsid w:val="1EA41923"/>
    <w:rsid w:val="1EAC4C7B"/>
    <w:rsid w:val="1EBA7398"/>
    <w:rsid w:val="1EC65D3D"/>
    <w:rsid w:val="1EC923CE"/>
    <w:rsid w:val="1ECA6EAF"/>
    <w:rsid w:val="1ED1023E"/>
    <w:rsid w:val="1ED33FB6"/>
    <w:rsid w:val="1ED65854"/>
    <w:rsid w:val="1EE75CB3"/>
    <w:rsid w:val="1EFB52BB"/>
    <w:rsid w:val="1F0625DD"/>
    <w:rsid w:val="1F136AA8"/>
    <w:rsid w:val="1F356A1F"/>
    <w:rsid w:val="1F3F789D"/>
    <w:rsid w:val="1F51312D"/>
    <w:rsid w:val="1F69491A"/>
    <w:rsid w:val="1F901EA7"/>
    <w:rsid w:val="1FAF2B7A"/>
    <w:rsid w:val="1FF00B97"/>
    <w:rsid w:val="20041933"/>
    <w:rsid w:val="201B4CE7"/>
    <w:rsid w:val="20256A93"/>
    <w:rsid w:val="203B62B7"/>
    <w:rsid w:val="20670E5A"/>
    <w:rsid w:val="206770AC"/>
    <w:rsid w:val="208A2D9A"/>
    <w:rsid w:val="2091237A"/>
    <w:rsid w:val="20A91472"/>
    <w:rsid w:val="20B36322"/>
    <w:rsid w:val="20CF0D61"/>
    <w:rsid w:val="20DD736E"/>
    <w:rsid w:val="20EE50D7"/>
    <w:rsid w:val="20F070A1"/>
    <w:rsid w:val="21020B82"/>
    <w:rsid w:val="211014F1"/>
    <w:rsid w:val="2110329F"/>
    <w:rsid w:val="211F1734"/>
    <w:rsid w:val="213F1DD6"/>
    <w:rsid w:val="214C6728"/>
    <w:rsid w:val="21537630"/>
    <w:rsid w:val="215533A8"/>
    <w:rsid w:val="2173382E"/>
    <w:rsid w:val="21751354"/>
    <w:rsid w:val="21771570"/>
    <w:rsid w:val="21780E44"/>
    <w:rsid w:val="218D48F0"/>
    <w:rsid w:val="219537A4"/>
    <w:rsid w:val="219C0FD7"/>
    <w:rsid w:val="21A61EBE"/>
    <w:rsid w:val="21A97250"/>
    <w:rsid w:val="21BE0F4D"/>
    <w:rsid w:val="21C524D4"/>
    <w:rsid w:val="21E93AF0"/>
    <w:rsid w:val="21FA5CFD"/>
    <w:rsid w:val="2228286B"/>
    <w:rsid w:val="222D7E81"/>
    <w:rsid w:val="2230171F"/>
    <w:rsid w:val="22342FBD"/>
    <w:rsid w:val="22484CBB"/>
    <w:rsid w:val="224D1C57"/>
    <w:rsid w:val="225278E7"/>
    <w:rsid w:val="226A69DF"/>
    <w:rsid w:val="226E050F"/>
    <w:rsid w:val="22877591"/>
    <w:rsid w:val="228C2DF9"/>
    <w:rsid w:val="228D0C3F"/>
    <w:rsid w:val="2292790A"/>
    <w:rsid w:val="22995516"/>
    <w:rsid w:val="22996B73"/>
    <w:rsid w:val="229E2B2D"/>
    <w:rsid w:val="22B91715"/>
    <w:rsid w:val="22E449E3"/>
    <w:rsid w:val="22EE13BE"/>
    <w:rsid w:val="22F8223D"/>
    <w:rsid w:val="233A0AA7"/>
    <w:rsid w:val="233D2346"/>
    <w:rsid w:val="235C0A1E"/>
    <w:rsid w:val="235D69C1"/>
    <w:rsid w:val="23843AD1"/>
    <w:rsid w:val="23A75A11"/>
    <w:rsid w:val="23AD74CB"/>
    <w:rsid w:val="23B87C1E"/>
    <w:rsid w:val="23C12F77"/>
    <w:rsid w:val="23D74548"/>
    <w:rsid w:val="23D83E1C"/>
    <w:rsid w:val="23DE7685"/>
    <w:rsid w:val="23E847F6"/>
    <w:rsid w:val="24125580"/>
    <w:rsid w:val="24217571"/>
    <w:rsid w:val="24425F7C"/>
    <w:rsid w:val="244D0366"/>
    <w:rsid w:val="24653902"/>
    <w:rsid w:val="24681644"/>
    <w:rsid w:val="247C6E9E"/>
    <w:rsid w:val="24883A94"/>
    <w:rsid w:val="24993465"/>
    <w:rsid w:val="24B0535B"/>
    <w:rsid w:val="24B403E6"/>
    <w:rsid w:val="24BC54EC"/>
    <w:rsid w:val="24CC3981"/>
    <w:rsid w:val="24E30CCB"/>
    <w:rsid w:val="24F92E3A"/>
    <w:rsid w:val="2524556B"/>
    <w:rsid w:val="252E63EA"/>
    <w:rsid w:val="253F23A5"/>
    <w:rsid w:val="254C2D14"/>
    <w:rsid w:val="254E4396"/>
    <w:rsid w:val="257353F9"/>
    <w:rsid w:val="25787665"/>
    <w:rsid w:val="257D4C7B"/>
    <w:rsid w:val="25861D82"/>
    <w:rsid w:val="2593449F"/>
    <w:rsid w:val="25BD776E"/>
    <w:rsid w:val="25D725DE"/>
    <w:rsid w:val="25EB42DB"/>
    <w:rsid w:val="26025181"/>
    <w:rsid w:val="260B672B"/>
    <w:rsid w:val="26123616"/>
    <w:rsid w:val="261E020C"/>
    <w:rsid w:val="264D28A0"/>
    <w:rsid w:val="269229A8"/>
    <w:rsid w:val="269B7AAF"/>
    <w:rsid w:val="26EA6341"/>
    <w:rsid w:val="26FC6074"/>
    <w:rsid w:val="27402404"/>
    <w:rsid w:val="27606603"/>
    <w:rsid w:val="276E6F72"/>
    <w:rsid w:val="2778394C"/>
    <w:rsid w:val="27871ADC"/>
    <w:rsid w:val="279B763B"/>
    <w:rsid w:val="27C052F3"/>
    <w:rsid w:val="27C6290A"/>
    <w:rsid w:val="27C72271"/>
    <w:rsid w:val="27DA4607"/>
    <w:rsid w:val="27DD40F7"/>
    <w:rsid w:val="27E64D5A"/>
    <w:rsid w:val="27F31225"/>
    <w:rsid w:val="27F531EF"/>
    <w:rsid w:val="27FC457D"/>
    <w:rsid w:val="27FD02F5"/>
    <w:rsid w:val="28101DD7"/>
    <w:rsid w:val="281F201A"/>
    <w:rsid w:val="28390070"/>
    <w:rsid w:val="283A32F8"/>
    <w:rsid w:val="28416434"/>
    <w:rsid w:val="284D4DD9"/>
    <w:rsid w:val="28697739"/>
    <w:rsid w:val="286B1703"/>
    <w:rsid w:val="28836A4D"/>
    <w:rsid w:val="2899001E"/>
    <w:rsid w:val="28A864B3"/>
    <w:rsid w:val="28C66939"/>
    <w:rsid w:val="28C80903"/>
    <w:rsid w:val="28D472A8"/>
    <w:rsid w:val="28D64DCE"/>
    <w:rsid w:val="28DE3C83"/>
    <w:rsid w:val="28E53263"/>
    <w:rsid w:val="28ED036A"/>
    <w:rsid w:val="291B4ED7"/>
    <w:rsid w:val="293E2974"/>
    <w:rsid w:val="297E1108"/>
    <w:rsid w:val="2987256D"/>
    <w:rsid w:val="29B6075C"/>
    <w:rsid w:val="29D62BAC"/>
    <w:rsid w:val="29E7300B"/>
    <w:rsid w:val="29E74DB9"/>
    <w:rsid w:val="29E96D83"/>
    <w:rsid w:val="29F23E8A"/>
    <w:rsid w:val="2A0B4F4C"/>
    <w:rsid w:val="2A16744D"/>
    <w:rsid w:val="2A2878AC"/>
    <w:rsid w:val="2A307B20"/>
    <w:rsid w:val="2A6C52BE"/>
    <w:rsid w:val="2A832D34"/>
    <w:rsid w:val="2A8D46CE"/>
    <w:rsid w:val="2A8E16D9"/>
    <w:rsid w:val="2ABC4498"/>
    <w:rsid w:val="2ACA0963"/>
    <w:rsid w:val="2B110340"/>
    <w:rsid w:val="2B211F52"/>
    <w:rsid w:val="2B22254D"/>
    <w:rsid w:val="2B2A31B0"/>
    <w:rsid w:val="2B342280"/>
    <w:rsid w:val="2B3B53BD"/>
    <w:rsid w:val="2B520958"/>
    <w:rsid w:val="2B5621F6"/>
    <w:rsid w:val="2B593A95"/>
    <w:rsid w:val="2B674404"/>
    <w:rsid w:val="2B7E34FB"/>
    <w:rsid w:val="2BB05DAB"/>
    <w:rsid w:val="2BB16143"/>
    <w:rsid w:val="2BCA6741"/>
    <w:rsid w:val="2BD4136D"/>
    <w:rsid w:val="2BD55811"/>
    <w:rsid w:val="2BF8505C"/>
    <w:rsid w:val="2C002162"/>
    <w:rsid w:val="2C025EDA"/>
    <w:rsid w:val="2C1125C1"/>
    <w:rsid w:val="2C367FAA"/>
    <w:rsid w:val="2C387B4E"/>
    <w:rsid w:val="2C3C763E"/>
    <w:rsid w:val="2C466EB6"/>
    <w:rsid w:val="2C583D4C"/>
    <w:rsid w:val="2C6E17C2"/>
    <w:rsid w:val="2C772424"/>
    <w:rsid w:val="2C842D93"/>
    <w:rsid w:val="2C9C00DD"/>
    <w:rsid w:val="2C9F197B"/>
    <w:rsid w:val="2CA376BD"/>
    <w:rsid w:val="2CA451E4"/>
    <w:rsid w:val="2CC66F08"/>
    <w:rsid w:val="2CDE6947"/>
    <w:rsid w:val="2CF25F4F"/>
    <w:rsid w:val="2D0143E4"/>
    <w:rsid w:val="2D085772"/>
    <w:rsid w:val="2D202ABC"/>
    <w:rsid w:val="2D4927FA"/>
    <w:rsid w:val="2D5664DE"/>
    <w:rsid w:val="2D6230D5"/>
    <w:rsid w:val="2D744BB6"/>
    <w:rsid w:val="2D7E5A35"/>
    <w:rsid w:val="2D7E77E3"/>
    <w:rsid w:val="2D83304B"/>
    <w:rsid w:val="2D922480"/>
    <w:rsid w:val="2D9D235F"/>
    <w:rsid w:val="2DB33930"/>
    <w:rsid w:val="2DC45B3D"/>
    <w:rsid w:val="2DD12008"/>
    <w:rsid w:val="2DD6761F"/>
    <w:rsid w:val="2DF83A39"/>
    <w:rsid w:val="2E156399"/>
    <w:rsid w:val="2E24038A"/>
    <w:rsid w:val="2E304F81"/>
    <w:rsid w:val="2E33681F"/>
    <w:rsid w:val="2E41718E"/>
    <w:rsid w:val="2E7D3F3E"/>
    <w:rsid w:val="2E876B6B"/>
    <w:rsid w:val="2E8C4181"/>
    <w:rsid w:val="2E953036"/>
    <w:rsid w:val="2EBE07DF"/>
    <w:rsid w:val="2EC4391B"/>
    <w:rsid w:val="2ECE6548"/>
    <w:rsid w:val="2ED26038"/>
    <w:rsid w:val="2EEB0EA8"/>
    <w:rsid w:val="2EEE2746"/>
    <w:rsid w:val="2EF91817"/>
    <w:rsid w:val="2F05640D"/>
    <w:rsid w:val="2F11770F"/>
    <w:rsid w:val="2F1A353B"/>
    <w:rsid w:val="2F1B63BD"/>
    <w:rsid w:val="2F2D7712"/>
    <w:rsid w:val="2F3F11F4"/>
    <w:rsid w:val="2F6F1AD9"/>
    <w:rsid w:val="2F792957"/>
    <w:rsid w:val="2F967065"/>
    <w:rsid w:val="2F9B467C"/>
    <w:rsid w:val="2F9E416C"/>
    <w:rsid w:val="2FB35E69"/>
    <w:rsid w:val="2FB614B6"/>
    <w:rsid w:val="2FEE50F3"/>
    <w:rsid w:val="300A35B0"/>
    <w:rsid w:val="30142680"/>
    <w:rsid w:val="3014442E"/>
    <w:rsid w:val="301937F3"/>
    <w:rsid w:val="302E3742"/>
    <w:rsid w:val="30332B06"/>
    <w:rsid w:val="30676C54"/>
    <w:rsid w:val="307B44AD"/>
    <w:rsid w:val="30A43A04"/>
    <w:rsid w:val="30B5176D"/>
    <w:rsid w:val="30B8300C"/>
    <w:rsid w:val="30BB2AFC"/>
    <w:rsid w:val="30C145B6"/>
    <w:rsid w:val="30C23E8A"/>
    <w:rsid w:val="30D36097"/>
    <w:rsid w:val="30E107B4"/>
    <w:rsid w:val="30E958BB"/>
    <w:rsid w:val="30EE2ED1"/>
    <w:rsid w:val="31175F84"/>
    <w:rsid w:val="312B7C81"/>
    <w:rsid w:val="31374878"/>
    <w:rsid w:val="315216B2"/>
    <w:rsid w:val="31644F41"/>
    <w:rsid w:val="31864EB8"/>
    <w:rsid w:val="3196159F"/>
    <w:rsid w:val="319E6182"/>
    <w:rsid w:val="31A041CB"/>
    <w:rsid w:val="31F42769"/>
    <w:rsid w:val="31FE47F4"/>
    <w:rsid w:val="324E3C27"/>
    <w:rsid w:val="32543208"/>
    <w:rsid w:val="326571C3"/>
    <w:rsid w:val="32712BD2"/>
    <w:rsid w:val="32717916"/>
    <w:rsid w:val="327F2033"/>
    <w:rsid w:val="329B4993"/>
    <w:rsid w:val="32A41A99"/>
    <w:rsid w:val="32BD2B5B"/>
    <w:rsid w:val="32CA473F"/>
    <w:rsid w:val="32CC0FF0"/>
    <w:rsid w:val="32D16607"/>
    <w:rsid w:val="32F347CF"/>
    <w:rsid w:val="32FF3174"/>
    <w:rsid w:val="33072028"/>
    <w:rsid w:val="331A7FAD"/>
    <w:rsid w:val="33226E62"/>
    <w:rsid w:val="33242BDA"/>
    <w:rsid w:val="3333106F"/>
    <w:rsid w:val="33380434"/>
    <w:rsid w:val="333A0650"/>
    <w:rsid w:val="333D5A4A"/>
    <w:rsid w:val="33434DE1"/>
    <w:rsid w:val="334E7C57"/>
    <w:rsid w:val="33784CD4"/>
    <w:rsid w:val="33857B1D"/>
    <w:rsid w:val="3390201E"/>
    <w:rsid w:val="33A65CE5"/>
    <w:rsid w:val="33A855B9"/>
    <w:rsid w:val="33E04D53"/>
    <w:rsid w:val="33F16F60"/>
    <w:rsid w:val="340F5638"/>
    <w:rsid w:val="341669C7"/>
    <w:rsid w:val="342A3320"/>
    <w:rsid w:val="3430563F"/>
    <w:rsid w:val="344277BC"/>
    <w:rsid w:val="344A6670"/>
    <w:rsid w:val="344F3C87"/>
    <w:rsid w:val="345D2848"/>
    <w:rsid w:val="34645984"/>
    <w:rsid w:val="3491429F"/>
    <w:rsid w:val="349E076A"/>
    <w:rsid w:val="34A915E9"/>
    <w:rsid w:val="34AE4E51"/>
    <w:rsid w:val="34B87A7E"/>
    <w:rsid w:val="34C46423"/>
    <w:rsid w:val="34CE54F3"/>
    <w:rsid w:val="352275ED"/>
    <w:rsid w:val="353A4937"/>
    <w:rsid w:val="3566572C"/>
    <w:rsid w:val="356E45E1"/>
    <w:rsid w:val="3575771D"/>
    <w:rsid w:val="3579545F"/>
    <w:rsid w:val="357A4D33"/>
    <w:rsid w:val="357C0AAC"/>
    <w:rsid w:val="358856A2"/>
    <w:rsid w:val="35957DBF"/>
    <w:rsid w:val="35B244CD"/>
    <w:rsid w:val="35BA7826"/>
    <w:rsid w:val="35DE1766"/>
    <w:rsid w:val="35FD7CCE"/>
    <w:rsid w:val="360D204B"/>
    <w:rsid w:val="363475D8"/>
    <w:rsid w:val="365D08DD"/>
    <w:rsid w:val="36853990"/>
    <w:rsid w:val="36A93B22"/>
    <w:rsid w:val="36B83D65"/>
    <w:rsid w:val="36C505C0"/>
    <w:rsid w:val="36CE17DB"/>
    <w:rsid w:val="36D466C5"/>
    <w:rsid w:val="36E31F57"/>
    <w:rsid w:val="36EB7528"/>
    <w:rsid w:val="36F30C44"/>
    <w:rsid w:val="36FD3E6E"/>
    <w:rsid w:val="37024FE0"/>
    <w:rsid w:val="370451FC"/>
    <w:rsid w:val="37321D6A"/>
    <w:rsid w:val="373553B6"/>
    <w:rsid w:val="374F72A9"/>
    <w:rsid w:val="376156CD"/>
    <w:rsid w:val="376712E7"/>
    <w:rsid w:val="377203B8"/>
    <w:rsid w:val="37797999"/>
    <w:rsid w:val="377D6D5D"/>
    <w:rsid w:val="378400EB"/>
    <w:rsid w:val="37895702"/>
    <w:rsid w:val="37936580"/>
    <w:rsid w:val="379C5435"/>
    <w:rsid w:val="37A20571"/>
    <w:rsid w:val="37A367C3"/>
    <w:rsid w:val="37D44BCF"/>
    <w:rsid w:val="37F05781"/>
    <w:rsid w:val="38265C2B"/>
    <w:rsid w:val="38392C84"/>
    <w:rsid w:val="384F06F9"/>
    <w:rsid w:val="3870241E"/>
    <w:rsid w:val="38910D12"/>
    <w:rsid w:val="389E6F8B"/>
    <w:rsid w:val="38A327F3"/>
    <w:rsid w:val="38AC6E61"/>
    <w:rsid w:val="38D46E50"/>
    <w:rsid w:val="38EA0422"/>
    <w:rsid w:val="38EC419A"/>
    <w:rsid w:val="38F82B3F"/>
    <w:rsid w:val="390239BE"/>
    <w:rsid w:val="39074B30"/>
    <w:rsid w:val="39243934"/>
    <w:rsid w:val="39317DFF"/>
    <w:rsid w:val="395A7356"/>
    <w:rsid w:val="39665CFB"/>
    <w:rsid w:val="3968533E"/>
    <w:rsid w:val="396A50BF"/>
    <w:rsid w:val="396C7089"/>
    <w:rsid w:val="3986014B"/>
    <w:rsid w:val="398C29B4"/>
    <w:rsid w:val="399F2FBB"/>
    <w:rsid w:val="39A700C1"/>
    <w:rsid w:val="39AD58C4"/>
    <w:rsid w:val="39C26CA9"/>
    <w:rsid w:val="39DE7F87"/>
    <w:rsid w:val="39E430C3"/>
    <w:rsid w:val="39ED1F78"/>
    <w:rsid w:val="39EE7A9E"/>
    <w:rsid w:val="39FF1CAB"/>
    <w:rsid w:val="3A2241FA"/>
    <w:rsid w:val="3A483652"/>
    <w:rsid w:val="3A543DA5"/>
    <w:rsid w:val="3A6758DC"/>
    <w:rsid w:val="3A6D130B"/>
    <w:rsid w:val="3A6D30B9"/>
    <w:rsid w:val="3A7E7074"/>
    <w:rsid w:val="3A804B9A"/>
    <w:rsid w:val="3A995C5C"/>
    <w:rsid w:val="3AAD1707"/>
    <w:rsid w:val="3AB17449"/>
    <w:rsid w:val="3ACF78CF"/>
    <w:rsid w:val="3AE27603"/>
    <w:rsid w:val="3AE72E6B"/>
    <w:rsid w:val="3AED5FA8"/>
    <w:rsid w:val="3AFB2473"/>
    <w:rsid w:val="3B460044"/>
    <w:rsid w:val="3B4A33FA"/>
    <w:rsid w:val="3B4F0A10"/>
    <w:rsid w:val="3B547DD5"/>
    <w:rsid w:val="3B697D24"/>
    <w:rsid w:val="3B6F0FCC"/>
    <w:rsid w:val="3B83616D"/>
    <w:rsid w:val="3B8E3F09"/>
    <w:rsid w:val="3B9F54F4"/>
    <w:rsid w:val="3BB05953"/>
    <w:rsid w:val="3BB15227"/>
    <w:rsid w:val="3BB32D4D"/>
    <w:rsid w:val="3BB70A8F"/>
    <w:rsid w:val="3BC9431F"/>
    <w:rsid w:val="3BD70BDB"/>
    <w:rsid w:val="3BEB698B"/>
    <w:rsid w:val="3C123F18"/>
    <w:rsid w:val="3C37397E"/>
    <w:rsid w:val="3C463BC1"/>
    <w:rsid w:val="3C4B567C"/>
    <w:rsid w:val="3C6D73A0"/>
    <w:rsid w:val="3C74072E"/>
    <w:rsid w:val="3C7544A7"/>
    <w:rsid w:val="3C7921E9"/>
    <w:rsid w:val="3C805325"/>
    <w:rsid w:val="3CB44FCF"/>
    <w:rsid w:val="3CB74ABF"/>
    <w:rsid w:val="3CC05722"/>
    <w:rsid w:val="3CD71FE3"/>
    <w:rsid w:val="3CE27D8E"/>
    <w:rsid w:val="3CF47AC1"/>
    <w:rsid w:val="3D2008B6"/>
    <w:rsid w:val="3D2C725B"/>
    <w:rsid w:val="3D3879AE"/>
    <w:rsid w:val="3D3E2AEA"/>
    <w:rsid w:val="3D3E5145"/>
    <w:rsid w:val="3D5B18EE"/>
    <w:rsid w:val="3D5F318D"/>
    <w:rsid w:val="3D6A1B31"/>
    <w:rsid w:val="3D8E3A72"/>
    <w:rsid w:val="3DA45043"/>
    <w:rsid w:val="3DA74075"/>
    <w:rsid w:val="3DA817AF"/>
    <w:rsid w:val="3DC92CFC"/>
    <w:rsid w:val="3E285C74"/>
    <w:rsid w:val="3E3208A1"/>
    <w:rsid w:val="3E3363C7"/>
    <w:rsid w:val="3E432AAE"/>
    <w:rsid w:val="3E7F33BB"/>
    <w:rsid w:val="3E810EE1"/>
    <w:rsid w:val="3E94330A"/>
    <w:rsid w:val="3EC139D3"/>
    <w:rsid w:val="3EC7672F"/>
    <w:rsid w:val="3ED100BA"/>
    <w:rsid w:val="3ED25BE0"/>
    <w:rsid w:val="3ED41958"/>
    <w:rsid w:val="3ED43706"/>
    <w:rsid w:val="3F035D9A"/>
    <w:rsid w:val="3F1461F9"/>
    <w:rsid w:val="3F20694C"/>
    <w:rsid w:val="3F2301EA"/>
    <w:rsid w:val="3F281CA4"/>
    <w:rsid w:val="3F2B709E"/>
    <w:rsid w:val="3F316DAB"/>
    <w:rsid w:val="3F4168C2"/>
    <w:rsid w:val="3F4E170B"/>
    <w:rsid w:val="3F650802"/>
    <w:rsid w:val="3F6820A1"/>
    <w:rsid w:val="3F6B01EA"/>
    <w:rsid w:val="3F6F78D3"/>
    <w:rsid w:val="3F7E18C4"/>
    <w:rsid w:val="3F8A2017"/>
    <w:rsid w:val="3FBD419A"/>
    <w:rsid w:val="3FC65745"/>
    <w:rsid w:val="3FC75019"/>
    <w:rsid w:val="3FCF2B71"/>
    <w:rsid w:val="3FE138CA"/>
    <w:rsid w:val="3FEA0D08"/>
    <w:rsid w:val="3FF57DD8"/>
    <w:rsid w:val="40112738"/>
    <w:rsid w:val="402B37FA"/>
    <w:rsid w:val="404843AC"/>
    <w:rsid w:val="404965D4"/>
    <w:rsid w:val="40955117"/>
    <w:rsid w:val="40A84E4B"/>
    <w:rsid w:val="40DD52E8"/>
    <w:rsid w:val="41022FFD"/>
    <w:rsid w:val="412D35A2"/>
    <w:rsid w:val="41377F7D"/>
    <w:rsid w:val="41393CF5"/>
    <w:rsid w:val="413E755D"/>
    <w:rsid w:val="414032D5"/>
    <w:rsid w:val="415D5C35"/>
    <w:rsid w:val="41670862"/>
    <w:rsid w:val="417E2869"/>
    <w:rsid w:val="41AC096A"/>
    <w:rsid w:val="41B475E0"/>
    <w:rsid w:val="41B94E35"/>
    <w:rsid w:val="41BD66D4"/>
    <w:rsid w:val="41EA1493"/>
    <w:rsid w:val="421B33FA"/>
    <w:rsid w:val="42274495"/>
    <w:rsid w:val="423F17DF"/>
    <w:rsid w:val="424E1A22"/>
    <w:rsid w:val="42576B28"/>
    <w:rsid w:val="425D1C65"/>
    <w:rsid w:val="426E3E72"/>
    <w:rsid w:val="427608C8"/>
    <w:rsid w:val="42864D18"/>
    <w:rsid w:val="4290203A"/>
    <w:rsid w:val="42A87384"/>
    <w:rsid w:val="42C972FA"/>
    <w:rsid w:val="42D00689"/>
    <w:rsid w:val="42E83C24"/>
    <w:rsid w:val="42EF6D61"/>
    <w:rsid w:val="42F26851"/>
    <w:rsid w:val="430F7403"/>
    <w:rsid w:val="43150FF8"/>
    <w:rsid w:val="43236A0A"/>
    <w:rsid w:val="432A5FEB"/>
    <w:rsid w:val="43482915"/>
    <w:rsid w:val="434846C3"/>
    <w:rsid w:val="438D0328"/>
    <w:rsid w:val="43947908"/>
    <w:rsid w:val="43994F1E"/>
    <w:rsid w:val="43A062AD"/>
    <w:rsid w:val="43A86F10"/>
    <w:rsid w:val="43BE6733"/>
    <w:rsid w:val="43D6135A"/>
    <w:rsid w:val="43F3462F"/>
    <w:rsid w:val="43F42155"/>
    <w:rsid w:val="43FD54AD"/>
    <w:rsid w:val="4407632C"/>
    <w:rsid w:val="440E1469"/>
    <w:rsid w:val="44136A7F"/>
    <w:rsid w:val="441F5424"/>
    <w:rsid w:val="443133A9"/>
    <w:rsid w:val="44352E99"/>
    <w:rsid w:val="444906F3"/>
    <w:rsid w:val="444924A1"/>
    <w:rsid w:val="444A6219"/>
    <w:rsid w:val="444E121C"/>
    <w:rsid w:val="4453331F"/>
    <w:rsid w:val="445A2900"/>
    <w:rsid w:val="446948F1"/>
    <w:rsid w:val="448E25A9"/>
    <w:rsid w:val="44A8366B"/>
    <w:rsid w:val="44B26298"/>
    <w:rsid w:val="44F66452"/>
    <w:rsid w:val="450D1720"/>
    <w:rsid w:val="451A5BEB"/>
    <w:rsid w:val="45237196"/>
    <w:rsid w:val="45356EC9"/>
    <w:rsid w:val="453E18DA"/>
    <w:rsid w:val="45406713"/>
    <w:rsid w:val="45435142"/>
    <w:rsid w:val="45A02594"/>
    <w:rsid w:val="45BB5620"/>
    <w:rsid w:val="45C1250B"/>
    <w:rsid w:val="45C269AF"/>
    <w:rsid w:val="45C9289D"/>
    <w:rsid w:val="45DE130F"/>
    <w:rsid w:val="45EA380F"/>
    <w:rsid w:val="45F4643C"/>
    <w:rsid w:val="46050649"/>
    <w:rsid w:val="46184820"/>
    <w:rsid w:val="461B1C1B"/>
    <w:rsid w:val="461D3BE5"/>
    <w:rsid w:val="46396545"/>
    <w:rsid w:val="46576C72"/>
    <w:rsid w:val="46607F75"/>
    <w:rsid w:val="467D28D5"/>
    <w:rsid w:val="46841EB6"/>
    <w:rsid w:val="46B5206F"/>
    <w:rsid w:val="46B75DE7"/>
    <w:rsid w:val="46CB706D"/>
    <w:rsid w:val="46F53476"/>
    <w:rsid w:val="4732546E"/>
    <w:rsid w:val="473311E6"/>
    <w:rsid w:val="474927B8"/>
    <w:rsid w:val="476870E2"/>
    <w:rsid w:val="476B36C0"/>
    <w:rsid w:val="478A7058"/>
    <w:rsid w:val="47CA0F85"/>
    <w:rsid w:val="47DB78B4"/>
    <w:rsid w:val="47E30E5E"/>
    <w:rsid w:val="47E524E0"/>
    <w:rsid w:val="47ED5839"/>
    <w:rsid w:val="47F00E85"/>
    <w:rsid w:val="48174664"/>
    <w:rsid w:val="482E032B"/>
    <w:rsid w:val="483B65A4"/>
    <w:rsid w:val="486A0C38"/>
    <w:rsid w:val="48741AB6"/>
    <w:rsid w:val="487B1097"/>
    <w:rsid w:val="48802209"/>
    <w:rsid w:val="48831CF9"/>
    <w:rsid w:val="48E924A4"/>
    <w:rsid w:val="48FC3F85"/>
    <w:rsid w:val="490E3CB9"/>
    <w:rsid w:val="491F1A22"/>
    <w:rsid w:val="49276B29"/>
    <w:rsid w:val="49290AF3"/>
    <w:rsid w:val="492E7EB7"/>
    <w:rsid w:val="49325BF9"/>
    <w:rsid w:val="49331971"/>
    <w:rsid w:val="493C4382"/>
    <w:rsid w:val="494476DB"/>
    <w:rsid w:val="4967691C"/>
    <w:rsid w:val="49697141"/>
    <w:rsid w:val="496E4757"/>
    <w:rsid w:val="49725FF6"/>
    <w:rsid w:val="497F0713"/>
    <w:rsid w:val="497F4AA1"/>
    <w:rsid w:val="4989333F"/>
    <w:rsid w:val="498E6BA8"/>
    <w:rsid w:val="49942410"/>
    <w:rsid w:val="49A47292"/>
    <w:rsid w:val="49AD3C2F"/>
    <w:rsid w:val="49B900C8"/>
    <w:rsid w:val="49BC1967"/>
    <w:rsid w:val="49C03205"/>
    <w:rsid w:val="49D30A41"/>
    <w:rsid w:val="49D56585"/>
    <w:rsid w:val="49F44C5D"/>
    <w:rsid w:val="4A361719"/>
    <w:rsid w:val="4A3634C7"/>
    <w:rsid w:val="4A3B0ADD"/>
    <w:rsid w:val="4A3E05CE"/>
    <w:rsid w:val="4A477482"/>
    <w:rsid w:val="4A4831FA"/>
    <w:rsid w:val="4A622219"/>
    <w:rsid w:val="4A8204BA"/>
    <w:rsid w:val="4A834233"/>
    <w:rsid w:val="4AAA2E16"/>
    <w:rsid w:val="4AD54A8E"/>
    <w:rsid w:val="4AE178D7"/>
    <w:rsid w:val="4AF34F14"/>
    <w:rsid w:val="4B0E61F2"/>
    <w:rsid w:val="4B105AC6"/>
    <w:rsid w:val="4B1F6DF2"/>
    <w:rsid w:val="4B201A81"/>
    <w:rsid w:val="4B223A4B"/>
    <w:rsid w:val="4B2C48CA"/>
    <w:rsid w:val="4B8D35BB"/>
    <w:rsid w:val="4B8E4FF2"/>
    <w:rsid w:val="4B904E59"/>
    <w:rsid w:val="4BBC79FC"/>
    <w:rsid w:val="4BC863A1"/>
    <w:rsid w:val="4C03387D"/>
    <w:rsid w:val="4C0B2731"/>
    <w:rsid w:val="4C26756B"/>
    <w:rsid w:val="4C4F6AC2"/>
    <w:rsid w:val="4C673E0C"/>
    <w:rsid w:val="4C7E2F03"/>
    <w:rsid w:val="4C8317CE"/>
    <w:rsid w:val="4C883D82"/>
    <w:rsid w:val="4C9E35A6"/>
    <w:rsid w:val="4CB44B77"/>
    <w:rsid w:val="4CC254E6"/>
    <w:rsid w:val="4CC34DBA"/>
    <w:rsid w:val="4CCA6149"/>
    <w:rsid w:val="4CD3324F"/>
    <w:rsid w:val="4CD46FC7"/>
    <w:rsid w:val="4CEF072B"/>
    <w:rsid w:val="4CFF46FD"/>
    <w:rsid w:val="4D0B0C3B"/>
    <w:rsid w:val="4D106251"/>
    <w:rsid w:val="4D1F0243"/>
    <w:rsid w:val="4D2B4E39"/>
    <w:rsid w:val="4D2E66D8"/>
    <w:rsid w:val="4D3F08E5"/>
    <w:rsid w:val="4D551EB6"/>
    <w:rsid w:val="4D893268"/>
    <w:rsid w:val="4D9D1381"/>
    <w:rsid w:val="4D9D560B"/>
    <w:rsid w:val="4DA1334D"/>
    <w:rsid w:val="4DA4699A"/>
    <w:rsid w:val="4DB7491F"/>
    <w:rsid w:val="4DC92CD7"/>
    <w:rsid w:val="4E0B6A19"/>
    <w:rsid w:val="4E1458CD"/>
    <w:rsid w:val="4E28581D"/>
    <w:rsid w:val="4E3E294A"/>
    <w:rsid w:val="4E600B13"/>
    <w:rsid w:val="4E8D38D2"/>
    <w:rsid w:val="4EC5306C"/>
    <w:rsid w:val="4ED137BE"/>
    <w:rsid w:val="4F1B65AF"/>
    <w:rsid w:val="4F22401A"/>
    <w:rsid w:val="4F2F6737"/>
    <w:rsid w:val="4F4421E2"/>
    <w:rsid w:val="4F5368C9"/>
    <w:rsid w:val="4F691C49"/>
    <w:rsid w:val="4F732AC8"/>
    <w:rsid w:val="4F8B1BBF"/>
    <w:rsid w:val="4FAB04B3"/>
    <w:rsid w:val="4FB1539E"/>
    <w:rsid w:val="4FC275AB"/>
    <w:rsid w:val="4FC41575"/>
    <w:rsid w:val="4FC82E13"/>
    <w:rsid w:val="4FCE7CFE"/>
    <w:rsid w:val="4FF04118"/>
    <w:rsid w:val="4FFC0D0F"/>
    <w:rsid w:val="50057955"/>
    <w:rsid w:val="501222E0"/>
    <w:rsid w:val="5015592D"/>
    <w:rsid w:val="502913D8"/>
    <w:rsid w:val="50461F8A"/>
    <w:rsid w:val="504F7091"/>
    <w:rsid w:val="50744D49"/>
    <w:rsid w:val="50772144"/>
    <w:rsid w:val="507B7E86"/>
    <w:rsid w:val="50836D3A"/>
    <w:rsid w:val="508605D9"/>
    <w:rsid w:val="50A32F39"/>
    <w:rsid w:val="50AC6291"/>
    <w:rsid w:val="50DE0415"/>
    <w:rsid w:val="50E0418D"/>
    <w:rsid w:val="50E7551B"/>
    <w:rsid w:val="50F1639A"/>
    <w:rsid w:val="510E0CFA"/>
    <w:rsid w:val="51112598"/>
    <w:rsid w:val="51180D53"/>
    <w:rsid w:val="514E559A"/>
    <w:rsid w:val="515F3303"/>
    <w:rsid w:val="51735001"/>
    <w:rsid w:val="51752B27"/>
    <w:rsid w:val="51946F44"/>
    <w:rsid w:val="51AE7211"/>
    <w:rsid w:val="51C770FB"/>
    <w:rsid w:val="51D6733E"/>
    <w:rsid w:val="51DD06CC"/>
    <w:rsid w:val="51DF61F2"/>
    <w:rsid w:val="51EE4687"/>
    <w:rsid w:val="51F53C68"/>
    <w:rsid w:val="5233653E"/>
    <w:rsid w:val="523522B6"/>
    <w:rsid w:val="525A3ACB"/>
    <w:rsid w:val="52796647"/>
    <w:rsid w:val="52884ADC"/>
    <w:rsid w:val="52950FA7"/>
    <w:rsid w:val="52A01E26"/>
    <w:rsid w:val="52A31916"/>
    <w:rsid w:val="52AF02BB"/>
    <w:rsid w:val="52AF3E17"/>
    <w:rsid w:val="52B92EE7"/>
    <w:rsid w:val="52C8312A"/>
    <w:rsid w:val="52E16484"/>
    <w:rsid w:val="52ED0DE3"/>
    <w:rsid w:val="52ED493F"/>
    <w:rsid w:val="52F43F1F"/>
    <w:rsid w:val="52F7756C"/>
    <w:rsid w:val="530C1269"/>
    <w:rsid w:val="531F5E2E"/>
    <w:rsid w:val="53204D14"/>
    <w:rsid w:val="536A41E2"/>
    <w:rsid w:val="537806AC"/>
    <w:rsid w:val="5382152B"/>
    <w:rsid w:val="538B4884"/>
    <w:rsid w:val="539D0113"/>
    <w:rsid w:val="53A45945"/>
    <w:rsid w:val="53A96AB8"/>
    <w:rsid w:val="53E45D42"/>
    <w:rsid w:val="53F02939"/>
    <w:rsid w:val="541008E5"/>
    <w:rsid w:val="5415414D"/>
    <w:rsid w:val="5419749F"/>
    <w:rsid w:val="542A6365"/>
    <w:rsid w:val="543F11CA"/>
    <w:rsid w:val="54492049"/>
    <w:rsid w:val="5452714F"/>
    <w:rsid w:val="54843081"/>
    <w:rsid w:val="54882B71"/>
    <w:rsid w:val="549C661D"/>
    <w:rsid w:val="54CA318A"/>
    <w:rsid w:val="54DC110F"/>
    <w:rsid w:val="54F2623D"/>
    <w:rsid w:val="54F77CF7"/>
    <w:rsid w:val="55083CB2"/>
    <w:rsid w:val="551B39E5"/>
    <w:rsid w:val="551C775D"/>
    <w:rsid w:val="55287EB0"/>
    <w:rsid w:val="55630EE8"/>
    <w:rsid w:val="55674E7D"/>
    <w:rsid w:val="55713605"/>
    <w:rsid w:val="55805F3E"/>
    <w:rsid w:val="55B61960"/>
    <w:rsid w:val="55C20305"/>
    <w:rsid w:val="55CB540B"/>
    <w:rsid w:val="55CE6CAA"/>
    <w:rsid w:val="55F12998"/>
    <w:rsid w:val="55F45FE4"/>
    <w:rsid w:val="55F93D86"/>
    <w:rsid w:val="56095F34"/>
    <w:rsid w:val="561B7A15"/>
    <w:rsid w:val="561F7505"/>
    <w:rsid w:val="56301712"/>
    <w:rsid w:val="563C1E65"/>
    <w:rsid w:val="56521689"/>
    <w:rsid w:val="565D002E"/>
    <w:rsid w:val="565E627F"/>
    <w:rsid w:val="56755377"/>
    <w:rsid w:val="56B20379"/>
    <w:rsid w:val="56CA56C3"/>
    <w:rsid w:val="56D86E7D"/>
    <w:rsid w:val="56E803BD"/>
    <w:rsid w:val="571526B6"/>
    <w:rsid w:val="575136EE"/>
    <w:rsid w:val="575D6537"/>
    <w:rsid w:val="576B22D6"/>
    <w:rsid w:val="57827D4C"/>
    <w:rsid w:val="578810DA"/>
    <w:rsid w:val="5797131D"/>
    <w:rsid w:val="57B63CAC"/>
    <w:rsid w:val="57CC0FC7"/>
    <w:rsid w:val="57FA3D86"/>
    <w:rsid w:val="58003366"/>
    <w:rsid w:val="58117322"/>
    <w:rsid w:val="58240E03"/>
    <w:rsid w:val="582901C7"/>
    <w:rsid w:val="582C5F09"/>
    <w:rsid w:val="582F1556"/>
    <w:rsid w:val="58437ACC"/>
    <w:rsid w:val="584B2834"/>
    <w:rsid w:val="585D4315"/>
    <w:rsid w:val="58692CBA"/>
    <w:rsid w:val="5889177A"/>
    <w:rsid w:val="589233DD"/>
    <w:rsid w:val="589F66DB"/>
    <w:rsid w:val="58A65CBC"/>
    <w:rsid w:val="58EE31BF"/>
    <w:rsid w:val="58FA6008"/>
    <w:rsid w:val="59025629"/>
    <w:rsid w:val="590B0E06"/>
    <w:rsid w:val="59262959"/>
    <w:rsid w:val="59284923"/>
    <w:rsid w:val="592D3CE7"/>
    <w:rsid w:val="5943350B"/>
    <w:rsid w:val="594D4389"/>
    <w:rsid w:val="595E6596"/>
    <w:rsid w:val="59AF0BA0"/>
    <w:rsid w:val="59AF294E"/>
    <w:rsid w:val="5A0F7891"/>
    <w:rsid w:val="5A1629CD"/>
    <w:rsid w:val="5A2450EA"/>
    <w:rsid w:val="5A274BDA"/>
    <w:rsid w:val="5A386DE8"/>
    <w:rsid w:val="5A3D43FE"/>
    <w:rsid w:val="5A3D61AC"/>
    <w:rsid w:val="5A67147B"/>
    <w:rsid w:val="5A695EFF"/>
    <w:rsid w:val="5A6C083F"/>
    <w:rsid w:val="5A9009D2"/>
    <w:rsid w:val="5AC8016B"/>
    <w:rsid w:val="5AE20B01"/>
    <w:rsid w:val="5AE76118"/>
    <w:rsid w:val="5AED1980"/>
    <w:rsid w:val="5AF92CFC"/>
    <w:rsid w:val="5AF96577"/>
    <w:rsid w:val="5AFC7E15"/>
    <w:rsid w:val="5B174C4F"/>
    <w:rsid w:val="5B1F3B03"/>
    <w:rsid w:val="5B2D6220"/>
    <w:rsid w:val="5B4F43E9"/>
    <w:rsid w:val="5B57329D"/>
    <w:rsid w:val="5B615ECA"/>
    <w:rsid w:val="5B6836FC"/>
    <w:rsid w:val="5B6854AA"/>
    <w:rsid w:val="5BA1276A"/>
    <w:rsid w:val="5BA835D7"/>
    <w:rsid w:val="5BAC183B"/>
    <w:rsid w:val="5BAC35E9"/>
    <w:rsid w:val="5BC00E43"/>
    <w:rsid w:val="5BC30933"/>
    <w:rsid w:val="5BED59B0"/>
    <w:rsid w:val="5C0A6562"/>
    <w:rsid w:val="5C0F1DCA"/>
    <w:rsid w:val="5C25339C"/>
    <w:rsid w:val="5C2C64D8"/>
    <w:rsid w:val="5C337866"/>
    <w:rsid w:val="5C3F445D"/>
    <w:rsid w:val="5C4001D5"/>
    <w:rsid w:val="5C423F4D"/>
    <w:rsid w:val="5C49708A"/>
    <w:rsid w:val="5C4A4BB0"/>
    <w:rsid w:val="5C4E28F2"/>
    <w:rsid w:val="5C7B120D"/>
    <w:rsid w:val="5C8400C2"/>
    <w:rsid w:val="5C8E7193"/>
    <w:rsid w:val="5C983B6D"/>
    <w:rsid w:val="5CA644DC"/>
    <w:rsid w:val="5CC04E72"/>
    <w:rsid w:val="5CD34BA6"/>
    <w:rsid w:val="5D015BB7"/>
    <w:rsid w:val="5D096819"/>
    <w:rsid w:val="5D1C479E"/>
    <w:rsid w:val="5D301FF8"/>
    <w:rsid w:val="5D3E5631"/>
    <w:rsid w:val="5D437F7D"/>
    <w:rsid w:val="5D4D2BAA"/>
    <w:rsid w:val="5D63417B"/>
    <w:rsid w:val="5D9E1657"/>
    <w:rsid w:val="5D9F2CDA"/>
    <w:rsid w:val="5DAD3649"/>
    <w:rsid w:val="5DB03139"/>
    <w:rsid w:val="5DD46E27"/>
    <w:rsid w:val="5E03770C"/>
    <w:rsid w:val="5E135BA1"/>
    <w:rsid w:val="5E162F9C"/>
    <w:rsid w:val="5E345B18"/>
    <w:rsid w:val="5E453881"/>
    <w:rsid w:val="5E4E6BDA"/>
    <w:rsid w:val="5E5C65B5"/>
    <w:rsid w:val="5E7D301B"/>
    <w:rsid w:val="5E8E6FD6"/>
    <w:rsid w:val="5E9465B6"/>
    <w:rsid w:val="5E9B16F3"/>
    <w:rsid w:val="5EA70098"/>
    <w:rsid w:val="5EB34C8F"/>
    <w:rsid w:val="5ED115B9"/>
    <w:rsid w:val="5ED52E57"/>
    <w:rsid w:val="5EF62DCD"/>
    <w:rsid w:val="5EFA0B0F"/>
    <w:rsid w:val="5EFC4888"/>
    <w:rsid w:val="5F011E9E"/>
    <w:rsid w:val="5F04373C"/>
    <w:rsid w:val="5F0E45BB"/>
    <w:rsid w:val="5F4104EC"/>
    <w:rsid w:val="5F494D5F"/>
    <w:rsid w:val="5F667F53"/>
    <w:rsid w:val="5F70492E"/>
    <w:rsid w:val="5F7A4ECE"/>
    <w:rsid w:val="5F99078B"/>
    <w:rsid w:val="5F9C1BC7"/>
    <w:rsid w:val="5F9E593F"/>
    <w:rsid w:val="5FA647F3"/>
    <w:rsid w:val="5FE315A4"/>
    <w:rsid w:val="5FE570CA"/>
    <w:rsid w:val="5FE80793"/>
    <w:rsid w:val="5FEC48FC"/>
    <w:rsid w:val="60003F04"/>
    <w:rsid w:val="60382365"/>
    <w:rsid w:val="60483AFC"/>
    <w:rsid w:val="605E50CE"/>
    <w:rsid w:val="6071095D"/>
    <w:rsid w:val="60820DBC"/>
    <w:rsid w:val="608C39E9"/>
    <w:rsid w:val="609B3C2C"/>
    <w:rsid w:val="60A54AAB"/>
    <w:rsid w:val="60A9459B"/>
    <w:rsid w:val="60BB42CE"/>
    <w:rsid w:val="60D4713E"/>
    <w:rsid w:val="60E94998"/>
    <w:rsid w:val="60F0406F"/>
    <w:rsid w:val="611A7247"/>
    <w:rsid w:val="611D2893"/>
    <w:rsid w:val="6142054C"/>
    <w:rsid w:val="61502C69"/>
    <w:rsid w:val="61896F93"/>
    <w:rsid w:val="61932B55"/>
    <w:rsid w:val="619D39D4"/>
    <w:rsid w:val="619D5782"/>
    <w:rsid w:val="61A22D98"/>
    <w:rsid w:val="61BC23E5"/>
    <w:rsid w:val="61BE4076"/>
    <w:rsid w:val="61D07906"/>
    <w:rsid w:val="61D54F1C"/>
    <w:rsid w:val="61DA0784"/>
    <w:rsid w:val="61DC274E"/>
    <w:rsid w:val="6208709F"/>
    <w:rsid w:val="621E4B15"/>
    <w:rsid w:val="6239194F"/>
    <w:rsid w:val="62516C98"/>
    <w:rsid w:val="625C73EB"/>
    <w:rsid w:val="627E7362"/>
    <w:rsid w:val="628250A4"/>
    <w:rsid w:val="62943029"/>
    <w:rsid w:val="629923ED"/>
    <w:rsid w:val="629B7F14"/>
    <w:rsid w:val="629E7A04"/>
    <w:rsid w:val="62A019CE"/>
    <w:rsid w:val="62A82630"/>
    <w:rsid w:val="62AA45FB"/>
    <w:rsid w:val="62B334AF"/>
    <w:rsid w:val="62CA6A4B"/>
    <w:rsid w:val="630B467F"/>
    <w:rsid w:val="633B16F7"/>
    <w:rsid w:val="63536A40"/>
    <w:rsid w:val="63640C4D"/>
    <w:rsid w:val="637C7D45"/>
    <w:rsid w:val="637D3ABD"/>
    <w:rsid w:val="637F4537"/>
    <w:rsid w:val="63817950"/>
    <w:rsid w:val="638D765F"/>
    <w:rsid w:val="63B82D47"/>
    <w:rsid w:val="63BC6393"/>
    <w:rsid w:val="63BC6F1A"/>
    <w:rsid w:val="63DF7B42"/>
    <w:rsid w:val="63FD075A"/>
    <w:rsid w:val="641E2BAA"/>
    <w:rsid w:val="642301C1"/>
    <w:rsid w:val="64487C27"/>
    <w:rsid w:val="64682077"/>
    <w:rsid w:val="64721148"/>
    <w:rsid w:val="647A1DAB"/>
    <w:rsid w:val="64896817"/>
    <w:rsid w:val="648A0240"/>
    <w:rsid w:val="64947310"/>
    <w:rsid w:val="64994927"/>
    <w:rsid w:val="64B654D9"/>
    <w:rsid w:val="64B90B25"/>
    <w:rsid w:val="64E21E2A"/>
    <w:rsid w:val="64FB738F"/>
    <w:rsid w:val="651346D9"/>
    <w:rsid w:val="651915C4"/>
    <w:rsid w:val="651A5C23"/>
    <w:rsid w:val="6522491C"/>
    <w:rsid w:val="652341F0"/>
    <w:rsid w:val="6549634D"/>
    <w:rsid w:val="65516FAF"/>
    <w:rsid w:val="65622F6B"/>
    <w:rsid w:val="659550EE"/>
    <w:rsid w:val="65B01F28"/>
    <w:rsid w:val="65F71905"/>
    <w:rsid w:val="65F928D6"/>
    <w:rsid w:val="662841B4"/>
    <w:rsid w:val="662B7800"/>
    <w:rsid w:val="662D3578"/>
    <w:rsid w:val="662F5543"/>
    <w:rsid w:val="664B7EA3"/>
    <w:rsid w:val="666F6B5A"/>
    <w:rsid w:val="66846F11"/>
    <w:rsid w:val="66A94523"/>
    <w:rsid w:val="66C11F13"/>
    <w:rsid w:val="66CF4630"/>
    <w:rsid w:val="66FE6CC3"/>
    <w:rsid w:val="67000C8D"/>
    <w:rsid w:val="6702167E"/>
    <w:rsid w:val="671D539B"/>
    <w:rsid w:val="672524A2"/>
    <w:rsid w:val="67283D40"/>
    <w:rsid w:val="672F1572"/>
    <w:rsid w:val="67424E02"/>
    <w:rsid w:val="674E19F8"/>
    <w:rsid w:val="6760172C"/>
    <w:rsid w:val="67786A75"/>
    <w:rsid w:val="67A05FCC"/>
    <w:rsid w:val="67A755AC"/>
    <w:rsid w:val="67CC0B6F"/>
    <w:rsid w:val="67DF6AF4"/>
    <w:rsid w:val="67EB5179"/>
    <w:rsid w:val="67EB5499"/>
    <w:rsid w:val="680F6E75"/>
    <w:rsid w:val="681A18DB"/>
    <w:rsid w:val="681C72C6"/>
    <w:rsid w:val="68210EBB"/>
    <w:rsid w:val="6832131A"/>
    <w:rsid w:val="683C3F47"/>
    <w:rsid w:val="68511F1F"/>
    <w:rsid w:val="68580655"/>
    <w:rsid w:val="685A261F"/>
    <w:rsid w:val="68680898"/>
    <w:rsid w:val="68686AEA"/>
    <w:rsid w:val="686D4C1F"/>
    <w:rsid w:val="687E455F"/>
    <w:rsid w:val="68955405"/>
    <w:rsid w:val="68A613C0"/>
    <w:rsid w:val="68AB2E7A"/>
    <w:rsid w:val="68AD7852"/>
    <w:rsid w:val="68C857DA"/>
    <w:rsid w:val="68E87C2B"/>
    <w:rsid w:val="68F10EFC"/>
    <w:rsid w:val="68F760C0"/>
    <w:rsid w:val="68FC7232"/>
    <w:rsid w:val="690507DD"/>
    <w:rsid w:val="690D143F"/>
    <w:rsid w:val="690F51B7"/>
    <w:rsid w:val="69112CDD"/>
    <w:rsid w:val="69126A56"/>
    <w:rsid w:val="691E189E"/>
    <w:rsid w:val="69360996"/>
    <w:rsid w:val="69531548"/>
    <w:rsid w:val="6954706E"/>
    <w:rsid w:val="697D0373"/>
    <w:rsid w:val="69872FA0"/>
    <w:rsid w:val="698A0CE2"/>
    <w:rsid w:val="69C97A5C"/>
    <w:rsid w:val="6A184540"/>
    <w:rsid w:val="6A2C1D99"/>
    <w:rsid w:val="6A513BED"/>
    <w:rsid w:val="6A771266"/>
    <w:rsid w:val="6A793230"/>
    <w:rsid w:val="6A892075"/>
    <w:rsid w:val="6AA162E3"/>
    <w:rsid w:val="6AA656A7"/>
    <w:rsid w:val="6AB06526"/>
    <w:rsid w:val="6AB46016"/>
    <w:rsid w:val="6AB778B5"/>
    <w:rsid w:val="6AD466B8"/>
    <w:rsid w:val="6ADF6E0B"/>
    <w:rsid w:val="6AF74155"/>
    <w:rsid w:val="6B272C8C"/>
    <w:rsid w:val="6B2F1B41"/>
    <w:rsid w:val="6B2F7D93"/>
    <w:rsid w:val="6B3158B9"/>
    <w:rsid w:val="6B4750DC"/>
    <w:rsid w:val="6B563571"/>
    <w:rsid w:val="6B923E7E"/>
    <w:rsid w:val="6BA87826"/>
    <w:rsid w:val="6BB34520"/>
    <w:rsid w:val="6BBE4C73"/>
    <w:rsid w:val="6BC32289"/>
    <w:rsid w:val="6BD44496"/>
    <w:rsid w:val="6BDD334B"/>
    <w:rsid w:val="6BE0108D"/>
    <w:rsid w:val="6BF6440D"/>
    <w:rsid w:val="6BFA3EFD"/>
    <w:rsid w:val="6BFB1A23"/>
    <w:rsid w:val="6C0F1747"/>
    <w:rsid w:val="6C117498"/>
    <w:rsid w:val="6C1236EB"/>
    <w:rsid w:val="6C256AA0"/>
    <w:rsid w:val="6C586E75"/>
    <w:rsid w:val="6C5C6966"/>
    <w:rsid w:val="6C643A6C"/>
    <w:rsid w:val="6C7C2B64"/>
    <w:rsid w:val="6C832C74"/>
    <w:rsid w:val="6C9003BD"/>
    <w:rsid w:val="6CD97FB6"/>
    <w:rsid w:val="6CFF3DA0"/>
    <w:rsid w:val="6D0B213A"/>
    <w:rsid w:val="6D0D7C60"/>
    <w:rsid w:val="6D1014FE"/>
    <w:rsid w:val="6D400035"/>
    <w:rsid w:val="6D45564C"/>
    <w:rsid w:val="6D561607"/>
    <w:rsid w:val="6D5C2A3C"/>
    <w:rsid w:val="6D7C6B93"/>
    <w:rsid w:val="6DA73C10"/>
    <w:rsid w:val="6DCF760B"/>
    <w:rsid w:val="6DF350A8"/>
    <w:rsid w:val="6DF901E4"/>
    <w:rsid w:val="6E192634"/>
    <w:rsid w:val="6E3B07FD"/>
    <w:rsid w:val="6E443B55"/>
    <w:rsid w:val="6E4B4EE4"/>
    <w:rsid w:val="6E62222D"/>
    <w:rsid w:val="6E623FDB"/>
    <w:rsid w:val="6E7D0E15"/>
    <w:rsid w:val="6E810905"/>
    <w:rsid w:val="6E8E4DD0"/>
    <w:rsid w:val="6E9C74ED"/>
    <w:rsid w:val="6E9D5013"/>
    <w:rsid w:val="6EB42E58"/>
    <w:rsid w:val="6EC627BC"/>
    <w:rsid w:val="6EED1AF7"/>
    <w:rsid w:val="6EF70BC7"/>
    <w:rsid w:val="6EFE1F56"/>
    <w:rsid w:val="6EFF7A7C"/>
    <w:rsid w:val="6F0C68C3"/>
    <w:rsid w:val="6F0D03EB"/>
    <w:rsid w:val="6F0D3F47"/>
    <w:rsid w:val="6F1352D6"/>
    <w:rsid w:val="6F141779"/>
    <w:rsid w:val="6F4D6A39"/>
    <w:rsid w:val="6F507AAE"/>
    <w:rsid w:val="6F83245B"/>
    <w:rsid w:val="6F96218E"/>
    <w:rsid w:val="6FA06B69"/>
    <w:rsid w:val="6FA33875"/>
    <w:rsid w:val="6FDC1B6B"/>
    <w:rsid w:val="6FDD600F"/>
    <w:rsid w:val="6FDD7DBD"/>
    <w:rsid w:val="6FEF7AF1"/>
    <w:rsid w:val="6FF62C2D"/>
    <w:rsid w:val="702C2AF3"/>
    <w:rsid w:val="702E23C7"/>
    <w:rsid w:val="70820965"/>
    <w:rsid w:val="709C1A26"/>
    <w:rsid w:val="70B054D2"/>
    <w:rsid w:val="70BD199D"/>
    <w:rsid w:val="70C525FF"/>
    <w:rsid w:val="70CE4947"/>
    <w:rsid w:val="70D311C0"/>
    <w:rsid w:val="70D54F38"/>
    <w:rsid w:val="70D70CB1"/>
    <w:rsid w:val="70DC62C7"/>
    <w:rsid w:val="70DF1913"/>
    <w:rsid w:val="71096990"/>
    <w:rsid w:val="71105F71"/>
    <w:rsid w:val="711C66C3"/>
    <w:rsid w:val="71267175"/>
    <w:rsid w:val="712B4B58"/>
    <w:rsid w:val="713F23B2"/>
    <w:rsid w:val="71551BD5"/>
    <w:rsid w:val="717E2EDA"/>
    <w:rsid w:val="71864485"/>
    <w:rsid w:val="71A60683"/>
    <w:rsid w:val="71BB2380"/>
    <w:rsid w:val="71CD5C10"/>
    <w:rsid w:val="71D376CA"/>
    <w:rsid w:val="720F6228"/>
    <w:rsid w:val="721101F2"/>
    <w:rsid w:val="72127AC6"/>
    <w:rsid w:val="724F1A43"/>
    <w:rsid w:val="7258197D"/>
    <w:rsid w:val="726227FC"/>
    <w:rsid w:val="7298446F"/>
    <w:rsid w:val="72987FCC"/>
    <w:rsid w:val="72B868C0"/>
    <w:rsid w:val="72BA43E6"/>
    <w:rsid w:val="72BD7A32"/>
    <w:rsid w:val="72BF19FC"/>
    <w:rsid w:val="72DF5BFA"/>
    <w:rsid w:val="72E256EB"/>
    <w:rsid w:val="72FF629D"/>
    <w:rsid w:val="7306587D"/>
    <w:rsid w:val="73125FD0"/>
    <w:rsid w:val="73260244"/>
    <w:rsid w:val="732948A8"/>
    <w:rsid w:val="73530396"/>
    <w:rsid w:val="735A1725"/>
    <w:rsid w:val="735C549D"/>
    <w:rsid w:val="736E51D0"/>
    <w:rsid w:val="7375030D"/>
    <w:rsid w:val="737C5B3F"/>
    <w:rsid w:val="739D2AF4"/>
    <w:rsid w:val="73A14D27"/>
    <w:rsid w:val="73A17354"/>
    <w:rsid w:val="73D239B1"/>
    <w:rsid w:val="73FE6554"/>
    <w:rsid w:val="74017DF2"/>
    <w:rsid w:val="74035919"/>
    <w:rsid w:val="7443665D"/>
    <w:rsid w:val="744E128A"/>
    <w:rsid w:val="746C1710"/>
    <w:rsid w:val="746C7962"/>
    <w:rsid w:val="746E36DA"/>
    <w:rsid w:val="746E5488"/>
    <w:rsid w:val="747D1B6F"/>
    <w:rsid w:val="747F7695"/>
    <w:rsid w:val="74C91C54"/>
    <w:rsid w:val="74E25E76"/>
    <w:rsid w:val="74E76FE8"/>
    <w:rsid w:val="74FB2A94"/>
    <w:rsid w:val="750162FC"/>
    <w:rsid w:val="75030E61"/>
    <w:rsid w:val="75120509"/>
    <w:rsid w:val="7516456D"/>
    <w:rsid w:val="751D2A0A"/>
    <w:rsid w:val="75271ADB"/>
    <w:rsid w:val="753366D1"/>
    <w:rsid w:val="75357D54"/>
    <w:rsid w:val="75373CDC"/>
    <w:rsid w:val="7541494A"/>
    <w:rsid w:val="754E7067"/>
    <w:rsid w:val="75630D65"/>
    <w:rsid w:val="756B5E6B"/>
    <w:rsid w:val="75720FA8"/>
    <w:rsid w:val="75840CDB"/>
    <w:rsid w:val="758E56B6"/>
    <w:rsid w:val="75A82C1C"/>
    <w:rsid w:val="75A924F0"/>
    <w:rsid w:val="75D237F5"/>
    <w:rsid w:val="75D27C98"/>
    <w:rsid w:val="75DB44C9"/>
    <w:rsid w:val="75EB2B08"/>
    <w:rsid w:val="75EB48B6"/>
    <w:rsid w:val="75EF25F8"/>
    <w:rsid w:val="75F0011F"/>
    <w:rsid w:val="75F53987"/>
    <w:rsid w:val="76285B0A"/>
    <w:rsid w:val="76465F91"/>
    <w:rsid w:val="765D3A06"/>
    <w:rsid w:val="767174B1"/>
    <w:rsid w:val="767B0330"/>
    <w:rsid w:val="769000ED"/>
    <w:rsid w:val="76A35191"/>
    <w:rsid w:val="76B63116"/>
    <w:rsid w:val="76C03F95"/>
    <w:rsid w:val="76C64558"/>
    <w:rsid w:val="76FD0D45"/>
    <w:rsid w:val="770863A3"/>
    <w:rsid w:val="770976EA"/>
    <w:rsid w:val="7711657D"/>
    <w:rsid w:val="77132317"/>
    <w:rsid w:val="772C33D8"/>
    <w:rsid w:val="77400C32"/>
    <w:rsid w:val="776112D4"/>
    <w:rsid w:val="77D23F80"/>
    <w:rsid w:val="77E12415"/>
    <w:rsid w:val="77E617D9"/>
    <w:rsid w:val="77F008AA"/>
    <w:rsid w:val="78070C1D"/>
    <w:rsid w:val="781E0F73"/>
    <w:rsid w:val="78412EB3"/>
    <w:rsid w:val="7860158C"/>
    <w:rsid w:val="7860333A"/>
    <w:rsid w:val="78762B5D"/>
    <w:rsid w:val="78961451"/>
    <w:rsid w:val="78A0407E"/>
    <w:rsid w:val="78B47B29"/>
    <w:rsid w:val="78BD69DE"/>
    <w:rsid w:val="78D36201"/>
    <w:rsid w:val="78E81581"/>
    <w:rsid w:val="78EF46BD"/>
    <w:rsid w:val="78F86174"/>
    <w:rsid w:val="78FC5FD5"/>
    <w:rsid w:val="790463BB"/>
    <w:rsid w:val="790C526F"/>
    <w:rsid w:val="79102FB2"/>
    <w:rsid w:val="79226841"/>
    <w:rsid w:val="79450781"/>
    <w:rsid w:val="794F33AE"/>
    <w:rsid w:val="79764DDF"/>
    <w:rsid w:val="797F1EE5"/>
    <w:rsid w:val="798B088A"/>
    <w:rsid w:val="798C63B0"/>
    <w:rsid w:val="799534B7"/>
    <w:rsid w:val="799D236B"/>
    <w:rsid w:val="79C8563A"/>
    <w:rsid w:val="79D55FA9"/>
    <w:rsid w:val="79F77CCE"/>
    <w:rsid w:val="79FF4DD4"/>
    <w:rsid w:val="7A067F11"/>
    <w:rsid w:val="7A1563A6"/>
    <w:rsid w:val="7A1F0FD2"/>
    <w:rsid w:val="7A262361"/>
    <w:rsid w:val="7A26386C"/>
    <w:rsid w:val="7A2B3E1B"/>
    <w:rsid w:val="7A480529"/>
    <w:rsid w:val="7A545120"/>
    <w:rsid w:val="7A560E98"/>
    <w:rsid w:val="7A590988"/>
    <w:rsid w:val="7A5A025C"/>
    <w:rsid w:val="7A601D17"/>
    <w:rsid w:val="7A6B4218"/>
    <w:rsid w:val="7A756E44"/>
    <w:rsid w:val="7A8D0632"/>
    <w:rsid w:val="7A97325F"/>
    <w:rsid w:val="7AA37E55"/>
    <w:rsid w:val="7AA53BCD"/>
    <w:rsid w:val="7AC8166A"/>
    <w:rsid w:val="7ADD5115"/>
    <w:rsid w:val="7AF1296F"/>
    <w:rsid w:val="7B252618"/>
    <w:rsid w:val="7B362A78"/>
    <w:rsid w:val="7B564EC8"/>
    <w:rsid w:val="7B5B24DE"/>
    <w:rsid w:val="7B62386D"/>
    <w:rsid w:val="7B7D06A6"/>
    <w:rsid w:val="7B86107C"/>
    <w:rsid w:val="7B8C08E9"/>
    <w:rsid w:val="7B986208"/>
    <w:rsid w:val="7BAD0F8C"/>
    <w:rsid w:val="7BB265A2"/>
    <w:rsid w:val="7BB8348D"/>
    <w:rsid w:val="7BBF2A6D"/>
    <w:rsid w:val="7BD36518"/>
    <w:rsid w:val="7C0C5586"/>
    <w:rsid w:val="7C0D1A2A"/>
    <w:rsid w:val="7C15268D"/>
    <w:rsid w:val="7C4116D4"/>
    <w:rsid w:val="7C4E5B9F"/>
    <w:rsid w:val="7C6460A0"/>
    <w:rsid w:val="7C6E40A4"/>
    <w:rsid w:val="7C792C1C"/>
    <w:rsid w:val="7C7B2E38"/>
    <w:rsid w:val="7C81665C"/>
    <w:rsid w:val="7C86358B"/>
    <w:rsid w:val="7C8D2B6B"/>
    <w:rsid w:val="7C991510"/>
    <w:rsid w:val="7CA0289E"/>
    <w:rsid w:val="7CB41EA6"/>
    <w:rsid w:val="7CD9190C"/>
    <w:rsid w:val="7CDD764F"/>
    <w:rsid w:val="7CE64029"/>
    <w:rsid w:val="7CEC7D69"/>
    <w:rsid w:val="7CF84488"/>
    <w:rsid w:val="7CFB5D27"/>
    <w:rsid w:val="7D071A7E"/>
    <w:rsid w:val="7D1943FF"/>
    <w:rsid w:val="7D1D5C9D"/>
    <w:rsid w:val="7D20753B"/>
    <w:rsid w:val="7D511DEB"/>
    <w:rsid w:val="7D6733BC"/>
    <w:rsid w:val="7D7653AD"/>
    <w:rsid w:val="7D853842"/>
    <w:rsid w:val="7DA97531"/>
    <w:rsid w:val="7DB163E5"/>
    <w:rsid w:val="7DC26844"/>
    <w:rsid w:val="7DE762AB"/>
    <w:rsid w:val="7DFC3B04"/>
    <w:rsid w:val="7E0E3838"/>
    <w:rsid w:val="7E24305B"/>
    <w:rsid w:val="7E2D63B4"/>
    <w:rsid w:val="7E2E5C88"/>
    <w:rsid w:val="7E3A462D"/>
    <w:rsid w:val="7E490D14"/>
    <w:rsid w:val="7E68119A"/>
    <w:rsid w:val="7E7062A0"/>
    <w:rsid w:val="7E837D82"/>
    <w:rsid w:val="7E9A50CB"/>
    <w:rsid w:val="7E9B637A"/>
    <w:rsid w:val="7EC565EC"/>
    <w:rsid w:val="7ED56104"/>
    <w:rsid w:val="7ED93E46"/>
    <w:rsid w:val="7EE10F4C"/>
    <w:rsid w:val="7EE27F20"/>
    <w:rsid w:val="7F1906E6"/>
    <w:rsid w:val="7F271055"/>
    <w:rsid w:val="7F2F1CB8"/>
    <w:rsid w:val="7F334C70"/>
    <w:rsid w:val="7F400539"/>
    <w:rsid w:val="7F406F56"/>
    <w:rsid w:val="7F4219EB"/>
    <w:rsid w:val="7F572FBC"/>
    <w:rsid w:val="7F5E434B"/>
    <w:rsid w:val="7F6F47AA"/>
    <w:rsid w:val="7F914720"/>
    <w:rsid w:val="7F9D4E73"/>
    <w:rsid w:val="7FA51F7A"/>
    <w:rsid w:val="7FAF4BA7"/>
    <w:rsid w:val="7FCE7723"/>
    <w:rsid w:val="7FDA60C7"/>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20749</Words>
  <Characters>23461</Characters>
  <Lines>185</Lines>
  <Paragraphs>52</Paragraphs>
  <TotalTime>31</TotalTime>
  <ScaleCrop>false</ScaleCrop>
  <LinksUpToDate>false</LinksUpToDate>
  <CharactersWithSpaces>23476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2023-10-12T01:17:00Z</dcterms:created>
  <dc:creator>CY</dc:creator>
  <cp:lastModifiedBy>WPS_1695865774</cp:lastModifiedBy>
  <cp:lastPrinted>2023-10-13T07:47:00Z</cp:lastPrinted>
  <dcterms:modified xsi:type="dcterms:W3CDTF">2023-10-16T08:14:47Z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83E5F432299F42F7B826E73BC4084E47_12</vt:lpwstr>
  </property>
</Properties>
</file>