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spacing w:val="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8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color w:val="auto"/>
          <w:spacing w:val="8"/>
          <w:sz w:val="32"/>
          <w:szCs w:val="32"/>
          <w:lang w:val="en-US" w:eastAsia="zh-CN"/>
        </w:rPr>
        <w:t>2</w:t>
      </w:r>
    </w:p>
    <w:p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spacing w:val="8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-US" w:eastAsia="zh-CN"/>
        </w:rPr>
        <w:t>贺州市</w:t>
      </w:r>
      <w:r>
        <w:rPr>
          <w:rFonts w:hint="default" w:ascii="Times New Roman" w:hAnsi="Times New Roman" w:eastAsia="方正小标宋简体" w:cs="Times New Roman"/>
          <w:color w:val="000000"/>
          <w:sz w:val="40"/>
          <w:szCs w:val="40"/>
          <w:lang w:val="en-US" w:eastAsia="zh-CN"/>
        </w:rPr>
        <w:t>“市校合作”高校</w:t>
      </w: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-US" w:eastAsia="zh-CN"/>
        </w:rPr>
        <w:t>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28"/>
          <w:szCs w:val="28"/>
          <w:lang w:val="en-US" w:eastAsia="zh-CN"/>
        </w:rPr>
      </w:pPr>
    </w:p>
    <w:tbl>
      <w:tblPr>
        <w:tblStyle w:val="3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5099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高校名称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广西师范大学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桂林电子科技大学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桂林理工大学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桂林医学院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桂林航</w:t>
            </w:r>
            <w:r>
              <w:rPr>
                <w:rFonts w:hint="eastAsia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工业学院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华南农业大学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广东财经大学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深圳大学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暨南大学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广州中医药大学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广东药科大学</w:t>
            </w:r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77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509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  <w:t>华南理工大学</w:t>
            </w:r>
            <w:bookmarkStart w:id="0" w:name="_GoBack"/>
            <w:bookmarkEnd w:id="0"/>
          </w:p>
        </w:tc>
        <w:tc>
          <w:tcPr>
            <w:tcW w:w="20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8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984" w:right="1531" w:bottom="141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hNWE2MmZkNzkwNDBiYjEzYzc0MWNiOGIwYTVjODIifQ=="/>
  </w:docVars>
  <w:rsids>
    <w:rsidRoot w:val="00000000"/>
    <w:rsid w:val="0990522E"/>
    <w:rsid w:val="2A25069B"/>
    <w:rsid w:val="36040324"/>
    <w:rsid w:val="5D4C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2022-01-12T12:36:00Z</dcterms:created>
  <dc:creator>Administrator</dc:creator>
  <cp:lastModifiedBy>囍</cp:lastModifiedBy>
  <dcterms:modified xsi:type="dcterms:W3CDTF">2023-10-26T00:44:47Z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E80DED51CBAB4AF78384B9BD696A7126</vt:lpwstr>
  </property>
</Properties>
</file>