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28750" w:type="dxa"/>
        <w:tblInd w:w="-719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6"/>
        <w:gridCol w:w="800"/>
        <w:gridCol w:w="1598"/>
        <w:gridCol w:w="2352"/>
        <w:gridCol w:w="1200"/>
        <w:gridCol w:w="960"/>
        <w:gridCol w:w="401"/>
        <w:gridCol w:w="567"/>
        <w:gridCol w:w="567"/>
        <w:gridCol w:w="3277"/>
        <w:gridCol w:w="1542"/>
        <w:gridCol w:w="1626"/>
        <w:gridCol w:w="7094"/>
        <w:gridCol w:w="2560"/>
        <w:gridCol w:w="346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</w:trPr>
        <w:tc>
          <w:tcPr>
            <w:tcW w:w="5496" w:type="dxa"/>
            <w:gridSpan w:val="4"/>
            <w:shd w:val="clear" w:color="auto" w:fill="auto"/>
            <w:noWrap/>
            <w:vAlign w:val="bottom"/>
          </w:tcPr>
          <w:p>
            <w:pPr>
              <w:adjustRightInd/>
              <w:snapToGrid/>
              <w:spacing w:after="0"/>
              <w:jc w:val="both"/>
              <w:rPr>
                <w:rFonts w:hint="eastAsia" w:ascii="Times New Roman" w:hAnsi="Times New Roman" w:eastAsia="黑体" w:cs="Times New Roman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eastAsia="黑体" w:cs="Times New Roman"/>
                <w:kern w:val="0"/>
                <w:sz w:val="32"/>
                <w:szCs w:val="32"/>
              </w:rPr>
              <w:t>附件</w:t>
            </w:r>
            <w:r>
              <w:rPr>
                <w:rFonts w:hint="eastAsia" w:ascii="Times New Roman" w:hAnsi="Times New Roman" w:eastAsia="黑体" w:cs="Times New Roman"/>
                <w:kern w:val="0"/>
                <w:sz w:val="32"/>
                <w:szCs w:val="32"/>
                <w:lang w:val="en-US" w:eastAsia="zh-CN"/>
              </w:rPr>
              <w:t>2</w:t>
            </w:r>
            <w:bookmarkStart w:id="0" w:name="_GoBack"/>
            <w:bookmarkEnd w:id="0"/>
          </w:p>
        </w:tc>
        <w:tc>
          <w:tcPr>
            <w:tcW w:w="1200" w:type="dxa"/>
            <w:shd w:val="clear" w:color="auto" w:fill="auto"/>
            <w:noWrap/>
            <w:vAlign w:val="bottom"/>
          </w:tcPr>
          <w:p>
            <w:pPr>
              <w:adjustRightInd/>
              <w:snapToGrid/>
              <w:spacing w:after="0"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361" w:type="dxa"/>
            <w:gridSpan w:val="2"/>
            <w:shd w:val="clear" w:color="auto" w:fill="auto"/>
            <w:noWrap/>
            <w:vAlign w:val="bottom"/>
          </w:tcPr>
          <w:p>
            <w:pPr>
              <w:adjustRightInd/>
              <w:snapToGrid/>
              <w:spacing w:after="0"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noWrap/>
            <w:vAlign w:val="bottom"/>
          </w:tcPr>
          <w:p>
            <w:pPr>
              <w:adjustRightInd/>
              <w:snapToGrid/>
              <w:spacing w:after="0"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3539" w:type="dxa"/>
            <w:gridSpan w:val="4"/>
            <w:shd w:val="clear" w:color="auto" w:fill="auto"/>
            <w:noWrap/>
            <w:vAlign w:val="bottom"/>
          </w:tcPr>
          <w:p>
            <w:pPr>
              <w:adjustRightInd/>
              <w:snapToGrid/>
              <w:spacing w:after="0"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2560" w:type="dxa"/>
            <w:shd w:val="clear" w:color="auto" w:fill="auto"/>
            <w:noWrap/>
            <w:vAlign w:val="bottom"/>
          </w:tcPr>
          <w:p>
            <w:pPr>
              <w:adjustRightInd/>
              <w:snapToGrid/>
              <w:spacing w:after="0"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3460" w:type="dxa"/>
            <w:tcBorders>
              <w:right w:val="nil"/>
            </w:tcBorders>
            <w:shd w:val="clear" w:color="auto" w:fill="auto"/>
            <w:noWrap/>
            <w:vAlign w:val="bottom"/>
          </w:tcPr>
          <w:p>
            <w:pPr>
              <w:adjustRightInd/>
              <w:snapToGrid/>
              <w:spacing w:after="0"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1" w:hRule="atLeast"/>
        </w:trPr>
        <w:tc>
          <w:tcPr>
            <w:tcW w:w="28750" w:type="dxa"/>
            <w:gridSpan w:val="15"/>
            <w:shd w:val="clear" w:color="auto" w:fill="auto"/>
            <w:vAlign w:val="center"/>
          </w:tcPr>
          <w:p>
            <w:pPr>
              <w:adjustRightInd/>
              <w:snapToGrid/>
              <w:spacing w:after="0"/>
              <w:ind w:firstLine="3960" w:firstLineChars="1100"/>
              <w:jc w:val="left"/>
              <w:rPr>
                <w:rFonts w:ascii="Times New Roman" w:hAnsi="Times New Roman" w:eastAsia="方正小标宋简体" w:cs="Times New Roman"/>
                <w:kern w:val="0"/>
                <w:sz w:val="48"/>
                <w:szCs w:val="48"/>
              </w:rPr>
            </w:pPr>
            <w:r>
              <w:rPr>
                <w:rFonts w:ascii="Times New Roman" w:hAnsi="Times New Roman" w:eastAsia="方正小标宋简体" w:cs="Times New Roman"/>
                <w:kern w:val="0"/>
                <w:sz w:val="36"/>
                <w:szCs w:val="36"/>
              </w:rPr>
              <w:t>武汉经开区2023年</w:t>
            </w:r>
            <w:r>
              <w:rPr>
                <w:rFonts w:hint="eastAsia" w:ascii="Times New Roman" w:hAnsi="Times New Roman" w:eastAsia="方正小标宋简体" w:cs="Times New Roman"/>
                <w:kern w:val="0"/>
                <w:sz w:val="36"/>
                <w:szCs w:val="36"/>
                <w:lang w:eastAsia="zh-CN"/>
              </w:rPr>
              <w:t>度</w:t>
            </w:r>
            <w:r>
              <w:rPr>
                <w:rFonts w:ascii="Times New Roman" w:hAnsi="Times New Roman" w:eastAsia="方正小标宋简体" w:cs="Times New Roman"/>
                <w:kern w:val="0"/>
                <w:sz w:val="36"/>
                <w:szCs w:val="36"/>
              </w:rPr>
              <w:t>高层次人才校园招聘岗位一览表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13114" w:type="dxa"/>
          <w:trHeight w:val="900" w:hRule="atLeast"/>
        </w:trPr>
        <w:tc>
          <w:tcPr>
            <w:tcW w:w="7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hint="eastAsia" w:ascii="Times New Roman" w:hAnsi="Times New Roman" w:eastAsia="黑体" w:cs="Times New Roman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eastAsia="黑体" w:cs="Times New Roman"/>
                <w:color w:val="000000"/>
                <w:kern w:val="0"/>
                <w:sz w:val="24"/>
                <w:szCs w:val="24"/>
              </w:rPr>
              <w:t>招录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ascii="Times New Roman" w:hAnsi="Times New Roman" w:eastAsia="黑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黑体" w:cs="Times New Roman"/>
                <w:color w:val="000000"/>
                <w:kern w:val="0"/>
                <w:sz w:val="24"/>
                <w:szCs w:val="24"/>
              </w:rPr>
              <w:t>机关</w:t>
            </w:r>
          </w:p>
        </w:tc>
        <w:tc>
          <w:tcPr>
            <w:tcW w:w="8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hint="eastAsia" w:ascii="Times New Roman" w:hAnsi="Times New Roman" w:eastAsia="黑体" w:cs="Times New Roman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eastAsia="黑体" w:cs="Times New Roman"/>
                <w:color w:val="000000"/>
                <w:kern w:val="0"/>
                <w:sz w:val="24"/>
                <w:szCs w:val="24"/>
              </w:rPr>
              <w:t>招录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ascii="Times New Roman" w:hAnsi="Times New Roman" w:eastAsia="黑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黑体" w:cs="Times New Roman"/>
                <w:color w:val="000000"/>
                <w:kern w:val="0"/>
                <w:sz w:val="24"/>
                <w:szCs w:val="24"/>
              </w:rPr>
              <w:t>职位</w:t>
            </w:r>
          </w:p>
        </w:tc>
        <w:tc>
          <w:tcPr>
            <w:tcW w:w="159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ascii="Times New Roman" w:hAnsi="Times New Roman" w:eastAsia="黑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黑体" w:cs="Times New Roman"/>
                <w:color w:val="000000"/>
                <w:kern w:val="0"/>
                <w:sz w:val="24"/>
                <w:szCs w:val="24"/>
              </w:rPr>
              <w:t>职位代码</w:t>
            </w:r>
          </w:p>
        </w:tc>
        <w:tc>
          <w:tcPr>
            <w:tcW w:w="23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ascii="Times New Roman" w:hAnsi="Times New Roman" w:eastAsia="黑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黑体" w:cs="Times New Roman"/>
                <w:color w:val="000000"/>
                <w:kern w:val="0"/>
                <w:sz w:val="24"/>
                <w:szCs w:val="24"/>
              </w:rPr>
              <w:t>职位简介</w:t>
            </w:r>
          </w:p>
        </w:tc>
        <w:tc>
          <w:tcPr>
            <w:tcW w:w="12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ascii="Times New Roman" w:hAnsi="Times New Roman" w:eastAsia="黑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黑体" w:cs="Times New Roman"/>
                <w:color w:val="000000"/>
                <w:kern w:val="0"/>
                <w:sz w:val="24"/>
                <w:szCs w:val="24"/>
              </w:rPr>
              <w:t>招录数量</w:t>
            </w:r>
          </w:p>
        </w:tc>
        <w:tc>
          <w:tcPr>
            <w:tcW w:w="9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ascii="Times New Roman" w:hAnsi="Times New Roman" w:eastAsia="黑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黑体" w:cs="Times New Roman"/>
                <w:color w:val="000000"/>
                <w:kern w:val="0"/>
                <w:sz w:val="24"/>
                <w:szCs w:val="24"/>
              </w:rPr>
              <w:t>学历</w:t>
            </w:r>
          </w:p>
        </w:tc>
        <w:tc>
          <w:tcPr>
            <w:tcW w:w="96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ascii="Times New Roman" w:hAnsi="Times New Roman" w:eastAsia="黑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黑体" w:cs="Times New Roman"/>
                <w:color w:val="000000"/>
                <w:kern w:val="0"/>
                <w:sz w:val="24"/>
                <w:szCs w:val="24"/>
              </w:rPr>
              <w:t>学位</w:t>
            </w:r>
          </w:p>
        </w:tc>
        <w:tc>
          <w:tcPr>
            <w:tcW w:w="384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ascii="Times New Roman" w:hAnsi="Times New Roman" w:eastAsia="黑体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黑体" w:cs="Times New Roman"/>
                <w:kern w:val="0"/>
                <w:sz w:val="24"/>
                <w:szCs w:val="24"/>
              </w:rPr>
              <w:t>研究生专业</w:t>
            </w:r>
          </w:p>
        </w:tc>
        <w:tc>
          <w:tcPr>
            <w:tcW w:w="154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ascii="Times New Roman" w:hAnsi="Times New Roman" w:eastAsia="黑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黑体" w:cs="Times New Roman"/>
                <w:color w:val="000000"/>
                <w:kern w:val="0"/>
                <w:sz w:val="24"/>
                <w:szCs w:val="24"/>
              </w:rPr>
              <w:t>招录对象</w:t>
            </w:r>
          </w:p>
        </w:tc>
        <w:tc>
          <w:tcPr>
            <w:tcW w:w="16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ascii="Times New Roman" w:hAnsi="Times New Roman" w:eastAsia="黑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黑体" w:cs="Times New Roman"/>
                <w:color w:val="000000"/>
                <w:kern w:val="0"/>
                <w:sz w:val="24"/>
                <w:szCs w:val="24"/>
              </w:rPr>
              <w:t>年龄要求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13114" w:type="dxa"/>
          <w:trHeight w:val="5207" w:hRule="atLeast"/>
        </w:trPr>
        <w:tc>
          <w:tcPr>
            <w:tcW w:w="7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40" w:lineRule="exact"/>
              <w:jc w:val="center"/>
              <w:textAlignment w:val="auto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武汉经济技术开发区管委会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40" w:lineRule="exact"/>
              <w:jc w:val="center"/>
              <w:textAlignment w:val="auto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招商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40" w:lineRule="exact"/>
              <w:jc w:val="center"/>
              <w:textAlignment w:val="auto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引资岗</w:t>
            </w:r>
          </w:p>
        </w:tc>
        <w:tc>
          <w:tcPr>
            <w:tcW w:w="15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40" w:lineRule="exact"/>
              <w:jc w:val="center"/>
              <w:textAlignment w:val="auto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WHJKXYZP01</w:t>
            </w:r>
          </w:p>
        </w:tc>
        <w:tc>
          <w:tcPr>
            <w:tcW w:w="23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40" w:lineRule="exact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1.负责制定与落实园区年度产业招商计划、建立与完善产业项目信息库；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40" w:lineRule="exact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2.负责园区项目洽谈、签约、跟踪服务等工作；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40" w:lineRule="exact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3.负责园区招商信息的挖掘、客商拜访、客商来访、考察接待；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40" w:lineRule="exact"/>
              <w:textAlignment w:val="auto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4.负责园区对外经济合作，指导外商投资。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40" w:lineRule="exact"/>
              <w:jc w:val="center"/>
              <w:textAlignment w:val="auto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40" w:lineRule="exact"/>
              <w:jc w:val="center"/>
              <w:textAlignment w:val="auto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研究生（硕士）及以上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40" w:lineRule="exact"/>
              <w:jc w:val="center"/>
              <w:textAlignment w:val="auto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硕士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40" w:lineRule="exact"/>
              <w:jc w:val="center"/>
              <w:textAlignment w:val="auto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及以上</w:t>
            </w:r>
          </w:p>
        </w:tc>
        <w:tc>
          <w:tcPr>
            <w:tcW w:w="384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40" w:lineRule="exact"/>
              <w:textAlignment w:val="auto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0202应用经济学、0802机械工程、0803光学工程、0805材料科学与工程、0808电气工程、0809电子科学与技术、0810信息与通信工程、0812计算机科学与技术、0813建筑学、0814土木工程、0823交通运输工程、0828农业工程、0833城乡规划学、0835软件工程；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40" w:lineRule="exact"/>
              <w:textAlignment w:val="auto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0251金融、0851建筑学、0853城市规划、0854电子信息、0855机械、0856材料与化工、0861交通运输、1256工程管理</w:t>
            </w:r>
          </w:p>
        </w:tc>
        <w:tc>
          <w:tcPr>
            <w:tcW w:w="15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40" w:lineRule="exact"/>
              <w:textAlignment w:val="auto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2024年全日制高校应届毕业研究生</w:t>
            </w:r>
          </w:p>
        </w:tc>
        <w:tc>
          <w:tcPr>
            <w:tcW w:w="16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40" w:lineRule="exact"/>
              <w:textAlignment w:val="auto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硕士研究生年龄在28周岁及以下（199</w:t>
            </w: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lang w:val="en-US" w:eastAsia="zh-CN"/>
              </w:rPr>
              <w:t>6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年</w:t>
            </w: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lang w:val="en-US" w:eastAsia="zh-CN"/>
              </w:rPr>
              <w:t>1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月</w:t>
            </w: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lang w:val="en-US" w:eastAsia="zh-CN"/>
              </w:rPr>
              <w:t>1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日以后出生），博士研究生年龄在32周岁及以下（199</w:t>
            </w: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lang w:val="en-US" w:eastAsia="zh-CN"/>
              </w:rPr>
              <w:t>2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年</w:t>
            </w: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lang w:val="en-US" w:eastAsia="zh-CN"/>
              </w:rPr>
              <w:t>1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月</w:t>
            </w: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lang w:val="en-US" w:eastAsia="zh-CN"/>
              </w:rPr>
              <w:t>1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日以后出生）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13114" w:type="dxa"/>
          <w:trHeight w:val="841" w:hRule="atLeast"/>
        </w:trPr>
        <w:tc>
          <w:tcPr>
            <w:tcW w:w="7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hint="eastAsia" w:ascii="Times New Roman" w:hAnsi="Times New Roman" w:eastAsia="黑体" w:cs="Times New Roman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eastAsia="黑体" w:cs="Times New Roman"/>
                <w:color w:val="000000"/>
                <w:kern w:val="0"/>
                <w:sz w:val="24"/>
                <w:szCs w:val="24"/>
              </w:rPr>
              <w:t>招录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黑体" w:cs="Times New Roman"/>
                <w:color w:val="000000"/>
                <w:kern w:val="0"/>
                <w:sz w:val="24"/>
                <w:szCs w:val="24"/>
              </w:rPr>
              <w:t>机关</w:t>
            </w:r>
          </w:p>
        </w:tc>
        <w:tc>
          <w:tcPr>
            <w:tcW w:w="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hint="eastAsia" w:ascii="Times New Roman" w:hAnsi="Times New Roman" w:eastAsia="黑体" w:cs="Times New Roman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eastAsia="黑体" w:cs="Times New Roman"/>
                <w:color w:val="000000"/>
                <w:kern w:val="0"/>
                <w:sz w:val="24"/>
                <w:szCs w:val="24"/>
              </w:rPr>
              <w:t>招录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黑体" w:cs="Times New Roman"/>
                <w:color w:val="000000"/>
                <w:kern w:val="0"/>
                <w:sz w:val="24"/>
                <w:szCs w:val="24"/>
              </w:rPr>
              <w:t>职位</w:t>
            </w:r>
          </w:p>
        </w:tc>
        <w:tc>
          <w:tcPr>
            <w:tcW w:w="15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黑体" w:cs="Times New Roman"/>
                <w:color w:val="000000"/>
                <w:kern w:val="0"/>
                <w:sz w:val="24"/>
                <w:szCs w:val="24"/>
              </w:rPr>
              <w:t>职位代码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黑体" w:cs="Times New Roman"/>
                <w:color w:val="000000"/>
                <w:kern w:val="0"/>
                <w:sz w:val="24"/>
                <w:szCs w:val="24"/>
              </w:rPr>
              <w:t>职位简介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黑体" w:cs="Times New Roman"/>
                <w:color w:val="000000"/>
                <w:kern w:val="0"/>
                <w:sz w:val="24"/>
                <w:szCs w:val="24"/>
              </w:rPr>
              <w:t>招录数量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黑体" w:cs="Times New Roman"/>
                <w:color w:val="000000"/>
                <w:kern w:val="0"/>
                <w:sz w:val="24"/>
                <w:szCs w:val="24"/>
              </w:rPr>
              <w:t>学历</w:t>
            </w:r>
          </w:p>
        </w:tc>
        <w:tc>
          <w:tcPr>
            <w:tcW w:w="9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黑体" w:cs="Times New Roman"/>
                <w:color w:val="000000"/>
                <w:kern w:val="0"/>
                <w:sz w:val="24"/>
                <w:szCs w:val="24"/>
              </w:rPr>
              <w:t>学位</w:t>
            </w:r>
          </w:p>
        </w:tc>
        <w:tc>
          <w:tcPr>
            <w:tcW w:w="384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黑体" w:cs="Times New Roman"/>
                <w:kern w:val="0"/>
                <w:sz w:val="24"/>
                <w:szCs w:val="24"/>
              </w:rPr>
              <w:t>研究生专业</w:t>
            </w:r>
          </w:p>
        </w:tc>
        <w:tc>
          <w:tcPr>
            <w:tcW w:w="15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黑体" w:cs="Times New Roman"/>
                <w:color w:val="000000"/>
                <w:kern w:val="0"/>
                <w:sz w:val="24"/>
                <w:szCs w:val="24"/>
              </w:rPr>
              <w:t>招录对象</w:t>
            </w:r>
          </w:p>
        </w:tc>
        <w:tc>
          <w:tcPr>
            <w:tcW w:w="16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黑体" w:cs="Times New Roman"/>
                <w:color w:val="000000"/>
                <w:kern w:val="0"/>
                <w:sz w:val="24"/>
                <w:szCs w:val="24"/>
              </w:rPr>
              <w:t>年龄要求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13114" w:type="dxa"/>
          <w:trHeight w:val="3850" w:hRule="atLeast"/>
        </w:trPr>
        <w:tc>
          <w:tcPr>
            <w:tcW w:w="7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40" w:lineRule="exact"/>
              <w:jc w:val="center"/>
              <w:textAlignment w:val="auto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武汉经济技术开发区管委会</w:t>
            </w:r>
          </w:p>
        </w:tc>
        <w:tc>
          <w:tcPr>
            <w:tcW w:w="8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40" w:lineRule="exact"/>
              <w:jc w:val="center"/>
              <w:textAlignment w:val="auto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企业</w:t>
            </w: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服务岗</w:t>
            </w:r>
          </w:p>
        </w:tc>
        <w:tc>
          <w:tcPr>
            <w:tcW w:w="159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40" w:lineRule="exact"/>
              <w:jc w:val="center"/>
              <w:textAlignment w:val="auto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WHJKXYZP02</w:t>
            </w:r>
          </w:p>
        </w:tc>
        <w:tc>
          <w:tcPr>
            <w:tcW w:w="23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40" w:lineRule="exact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1.负责企业经济运行相关工作，建立并及时更新园区企业档案信息库；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40" w:lineRule="exact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2.负责园区企业优惠政策的兑现工作；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40" w:lineRule="exact"/>
              <w:textAlignment w:val="auto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3.协调解决企业生产经营中的诉求等工作；负责园区优化营商环境工作。</w:t>
            </w:r>
          </w:p>
        </w:tc>
        <w:tc>
          <w:tcPr>
            <w:tcW w:w="12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40" w:lineRule="exact"/>
              <w:jc w:val="center"/>
              <w:textAlignment w:val="auto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20</w:t>
            </w:r>
          </w:p>
        </w:tc>
        <w:tc>
          <w:tcPr>
            <w:tcW w:w="9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40" w:lineRule="exact"/>
              <w:jc w:val="center"/>
              <w:textAlignment w:val="auto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研究生（硕士）及以上</w:t>
            </w:r>
          </w:p>
        </w:tc>
        <w:tc>
          <w:tcPr>
            <w:tcW w:w="96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40" w:lineRule="exact"/>
              <w:jc w:val="center"/>
              <w:textAlignment w:val="auto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硕士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40" w:lineRule="exact"/>
              <w:jc w:val="center"/>
              <w:textAlignment w:val="auto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及以上</w:t>
            </w:r>
          </w:p>
        </w:tc>
        <w:tc>
          <w:tcPr>
            <w:tcW w:w="384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40" w:lineRule="exact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0202应用经济学、0802机械工程、0803光学工程、0805材料科学与工程、0808电气工程、0809电子科学与技术、0810信息与通信工程、0812计算机科学与技术、0813建筑学、0814土木工程、0823交通运输工程、0828农业工程、0833城乡规划学、0835软件工程；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40" w:lineRule="exact"/>
              <w:textAlignment w:val="auto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0251金融、0851建筑学、0853城市规划、0854电子信息、0855机械、0856材料与化工、0861交通运输、1201管理科学与工程、1203农林经济管理、1256工程管理</w:t>
            </w:r>
          </w:p>
        </w:tc>
        <w:tc>
          <w:tcPr>
            <w:tcW w:w="154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40" w:lineRule="exact"/>
              <w:textAlignment w:val="auto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2024年全日制高校应届毕业研究生</w:t>
            </w:r>
          </w:p>
        </w:tc>
        <w:tc>
          <w:tcPr>
            <w:tcW w:w="16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40" w:lineRule="exact"/>
              <w:textAlignment w:val="auto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硕士研究生年龄在28周岁及以下（199</w:t>
            </w: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lang w:val="en-US" w:eastAsia="zh-CN"/>
              </w:rPr>
              <w:t>6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年</w:t>
            </w: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lang w:val="en-US" w:eastAsia="zh-CN"/>
              </w:rPr>
              <w:t>1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月</w:t>
            </w: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lang w:val="en-US" w:eastAsia="zh-CN"/>
              </w:rPr>
              <w:t>1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日以后出生），博士研究生年龄在32周岁及以下（199</w:t>
            </w: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lang w:val="en-US" w:eastAsia="zh-CN"/>
              </w:rPr>
              <w:t>2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年</w:t>
            </w: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lang w:val="en-US" w:eastAsia="zh-CN"/>
              </w:rPr>
              <w:t>1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月</w:t>
            </w: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lang w:val="en-US" w:eastAsia="zh-CN"/>
              </w:rPr>
              <w:t>1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日以后出生）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13114" w:type="dxa"/>
          <w:trHeight w:val="3242" w:hRule="atLeast"/>
        </w:trPr>
        <w:tc>
          <w:tcPr>
            <w:tcW w:w="7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40" w:lineRule="exact"/>
              <w:jc w:val="center"/>
              <w:textAlignment w:val="auto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武汉经济技术开发区管委会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40" w:lineRule="exact"/>
              <w:jc w:val="center"/>
              <w:textAlignment w:val="auto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内部</w:t>
            </w: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管理岗</w:t>
            </w:r>
          </w:p>
        </w:tc>
        <w:tc>
          <w:tcPr>
            <w:tcW w:w="15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40" w:lineRule="exact"/>
              <w:jc w:val="center"/>
              <w:textAlignment w:val="auto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WHJKXYZP03</w:t>
            </w:r>
          </w:p>
        </w:tc>
        <w:tc>
          <w:tcPr>
            <w:tcW w:w="23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40" w:lineRule="exact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1.负责园区机关文电、会务、机要、档案、接待、联络等日常管理工作；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40" w:lineRule="exact"/>
              <w:textAlignment w:val="auto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2.负责园区党建、组织人事、纪检监察、宣传、群团、文明创建、绩效考评等工作。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40" w:lineRule="exact"/>
              <w:jc w:val="center"/>
              <w:textAlignment w:val="auto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40" w:lineRule="exact"/>
              <w:jc w:val="center"/>
              <w:textAlignment w:val="auto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研究生（硕士）及以上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40" w:lineRule="exact"/>
              <w:jc w:val="center"/>
              <w:textAlignment w:val="auto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硕士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40" w:lineRule="exact"/>
              <w:jc w:val="center"/>
              <w:textAlignment w:val="auto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及以上</w:t>
            </w:r>
          </w:p>
        </w:tc>
        <w:tc>
          <w:tcPr>
            <w:tcW w:w="384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40" w:lineRule="exact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0202应用经济学、0301 法学、1201管理科学与工程、1202工商管理、1204公共管理；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40" w:lineRule="exact"/>
              <w:textAlignment w:val="auto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0251金融、0252应用统计、0254国际商务、0256资产评估、0257审计、0351法律、1251工商管理、1252公共管理、1253会计、1256工程管理</w:t>
            </w:r>
          </w:p>
        </w:tc>
        <w:tc>
          <w:tcPr>
            <w:tcW w:w="15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40" w:lineRule="exact"/>
              <w:textAlignment w:val="auto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2024年全日制高校应届毕业研究生</w:t>
            </w:r>
          </w:p>
        </w:tc>
        <w:tc>
          <w:tcPr>
            <w:tcW w:w="16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40" w:lineRule="exact"/>
              <w:textAlignment w:val="auto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硕士研究生年龄在28周岁及以下（199</w:t>
            </w: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lang w:val="en-US" w:eastAsia="zh-CN"/>
              </w:rPr>
              <w:t>6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年</w:t>
            </w: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lang w:val="en-US" w:eastAsia="zh-CN"/>
              </w:rPr>
              <w:t>1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月</w:t>
            </w: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lang w:val="en-US" w:eastAsia="zh-CN"/>
              </w:rPr>
              <w:t>1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日以后出生），博士研究生年龄在32周岁及以下（199</w:t>
            </w: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lang w:val="en-US" w:eastAsia="zh-CN"/>
              </w:rPr>
              <w:t>2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年</w:t>
            </w: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lang w:val="en-US" w:eastAsia="zh-CN"/>
              </w:rPr>
              <w:t>1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月</w:t>
            </w: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lang w:val="en-US" w:eastAsia="zh-CN"/>
              </w:rPr>
              <w:t>1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日以后出生）</w:t>
            </w:r>
          </w:p>
        </w:tc>
      </w:tr>
    </w:tbl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FhNTQyOTkyOTBmNjFmMjAyOGE5MTZhN2RjMjExNjIifQ=="/>
  </w:docVars>
  <w:rsids>
    <w:rsidRoot w:val="0A9632E6"/>
    <w:rsid w:val="0A9632E6"/>
    <w:rsid w:val="148379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theme="minorBidi"/>
      <w:kern w:val="2"/>
      <w:sz w:val="22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2023-10-19T03:31:00Z</dcterms:created>
  <dc:creator>望山石</dc:creator>
  <cp:lastModifiedBy>望山石</cp:lastModifiedBy>
  <dcterms:modified xsi:type="dcterms:W3CDTF">2023-10-19T09:47:16Z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2AF8937B08514BD4B08D088E93568451_11</vt:lpwstr>
  </property>
</Properties>
</file>