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val="0"/>
          <w:bCs w:val="0"/>
        </w:rPr>
      </w:pPr>
      <w:r>
        <w:rPr>
          <w:rFonts w:hint="eastAsia"/>
          <w:b w:val="0"/>
          <w:bCs w:val="0"/>
        </w:rPr>
        <w:t>泉州交通发展集团有限责任公司简介</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default" w:ascii="Times New Roman" w:hAnsi="Times New Roman" w:eastAsia="方正仿宋简体" w:cs="Times New Roman"/>
          <w:kern w:val="2"/>
          <w:sz w:val="32"/>
          <w:szCs w:val="32"/>
        </w:rPr>
      </w:pPr>
      <w:r>
        <w:rPr>
          <w:rFonts w:hint="eastAsia" w:ascii="Times New Roman" w:hAnsi="Times New Roman" w:eastAsia="方正仿宋简体" w:cs="Times New Roman"/>
          <w:b w:val="0"/>
          <w:kern w:val="2"/>
          <w:sz w:val="32"/>
          <w:szCs w:val="32"/>
          <w:lang w:val="en-US" w:eastAsia="zh-CN" w:bidi="ar-SA"/>
        </w:rPr>
        <w:t>泉州交发集团于</w:t>
      </w:r>
      <w:r>
        <w:rPr>
          <w:rFonts w:hint="default" w:ascii="Times New Roman" w:hAnsi="Times New Roman" w:eastAsia="方正仿宋简体" w:cs="Times New Roman"/>
          <w:b w:val="0"/>
          <w:kern w:val="2"/>
          <w:sz w:val="32"/>
          <w:szCs w:val="32"/>
          <w:lang w:val="en-US" w:eastAsia="zh-CN" w:bidi="ar-SA"/>
        </w:rPr>
        <w:t>2017</w:t>
      </w:r>
      <w:r>
        <w:rPr>
          <w:rFonts w:hint="eastAsia" w:ascii="Times New Roman" w:hAnsi="Times New Roman" w:eastAsia="方正仿宋简体" w:cs="Times New Roman"/>
          <w:b w:val="0"/>
          <w:kern w:val="2"/>
          <w:sz w:val="32"/>
          <w:szCs w:val="32"/>
          <w:lang w:val="en-US" w:eastAsia="zh-CN" w:bidi="ar-SA"/>
        </w:rPr>
        <w:t>年</w:t>
      </w:r>
      <w:r>
        <w:rPr>
          <w:rFonts w:hint="default" w:ascii="Times New Roman" w:hAnsi="Times New Roman" w:eastAsia="方正仿宋简体" w:cs="Times New Roman"/>
          <w:b w:val="0"/>
          <w:kern w:val="2"/>
          <w:sz w:val="32"/>
          <w:szCs w:val="32"/>
          <w:lang w:val="en-US" w:eastAsia="zh-CN" w:bidi="ar-SA"/>
        </w:rPr>
        <w:t>7</w:t>
      </w:r>
      <w:r>
        <w:rPr>
          <w:rFonts w:hint="eastAsia" w:ascii="Times New Roman" w:hAnsi="Times New Roman" w:eastAsia="方正仿宋简体" w:cs="Times New Roman"/>
          <w:b w:val="0"/>
          <w:kern w:val="2"/>
          <w:sz w:val="32"/>
          <w:szCs w:val="32"/>
          <w:lang w:val="en-US" w:eastAsia="zh-CN" w:bidi="ar-SA"/>
        </w:rPr>
        <w:t>月成立，注册资本金</w:t>
      </w:r>
      <w:r>
        <w:rPr>
          <w:rFonts w:hint="default" w:ascii="Times New Roman" w:hAnsi="Times New Roman" w:eastAsia="方正仿宋简体" w:cs="Times New Roman"/>
          <w:b w:val="0"/>
          <w:kern w:val="2"/>
          <w:sz w:val="32"/>
          <w:szCs w:val="32"/>
          <w:lang w:val="en-US" w:eastAsia="zh-CN" w:bidi="ar-SA"/>
        </w:rPr>
        <w:t>30</w:t>
      </w:r>
      <w:r>
        <w:rPr>
          <w:rFonts w:hint="eastAsia" w:ascii="Times New Roman" w:hAnsi="Times New Roman" w:eastAsia="方正仿宋简体" w:cs="Times New Roman"/>
          <w:b w:val="0"/>
          <w:kern w:val="2"/>
          <w:sz w:val="32"/>
          <w:szCs w:val="32"/>
          <w:lang w:val="en-US" w:eastAsia="zh-CN" w:bidi="ar-SA"/>
        </w:rPr>
        <w:t>亿元，定位为</w:t>
      </w:r>
      <w:r>
        <w:rPr>
          <w:rFonts w:hint="eastAsia" w:ascii="方正仿宋简体" w:hAnsi="方正仿宋简体" w:eastAsia="方正仿宋简体" w:cs="方正仿宋简体"/>
          <w:b/>
          <w:bCs/>
          <w:kern w:val="2"/>
          <w:sz w:val="32"/>
          <w:szCs w:val="32"/>
          <w:lang w:val="en-US" w:eastAsia="zh-CN" w:bidi="ar"/>
        </w:rPr>
        <w:t>“现代交通产业及城市大数据融投建运管综合服务提供商</w:t>
      </w:r>
      <w:r>
        <w:rPr>
          <w:rFonts w:hint="eastAsia" w:ascii="方正仿宋简体" w:hAnsi="方正仿宋简体" w:eastAsia="方正仿宋简体" w:cs="方正仿宋简体"/>
          <w:b/>
          <w:kern w:val="2"/>
          <w:sz w:val="32"/>
          <w:szCs w:val="32"/>
          <w:lang w:val="en-US" w:eastAsia="zh-CN" w:bidi="ar"/>
        </w:rPr>
        <w:t>”</w:t>
      </w:r>
      <w:r>
        <w:rPr>
          <w:rFonts w:hint="eastAsia" w:ascii="Times New Roman" w:hAnsi="Times New Roman" w:eastAsia="方正仿宋简体" w:cs="Times New Roman"/>
          <w:b w:val="0"/>
          <w:kern w:val="2"/>
          <w:sz w:val="32"/>
          <w:szCs w:val="32"/>
          <w:lang w:val="en-US" w:eastAsia="zh-CN" w:bidi="ar-SA"/>
        </w:rPr>
        <w:t>，于</w:t>
      </w:r>
      <w:r>
        <w:rPr>
          <w:rFonts w:hint="default" w:ascii="Times New Roman" w:hAnsi="Times New Roman" w:eastAsia="方正仿宋简体" w:cs="Times New Roman"/>
          <w:b w:val="0"/>
          <w:kern w:val="2"/>
          <w:sz w:val="32"/>
          <w:szCs w:val="32"/>
          <w:lang w:val="en-US" w:eastAsia="zh-CN" w:bidi="ar-SA"/>
        </w:rPr>
        <w:t>2022</w:t>
      </w:r>
      <w:r>
        <w:rPr>
          <w:rFonts w:hint="eastAsia" w:ascii="Times New Roman" w:hAnsi="Times New Roman" w:eastAsia="方正仿宋简体" w:cs="Times New Roman"/>
          <w:b w:val="0"/>
          <w:kern w:val="2"/>
          <w:sz w:val="32"/>
          <w:szCs w:val="32"/>
          <w:lang w:val="en-US" w:eastAsia="zh-CN" w:bidi="ar-SA"/>
        </w:rPr>
        <w:t>年</w:t>
      </w:r>
      <w:r>
        <w:rPr>
          <w:rFonts w:hint="default" w:ascii="Times New Roman" w:hAnsi="Times New Roman" w:eastAsia="方正仿宋简体" w:cs="Times New Roman"/>
          <w:b w:val="0"/>
          <w:kern w:val="2"/>
          <w:sz w:val="32"/>
          <w:szCs w:val="32"/>
          <w:lang w:val="en-US" w:eastAsia="zh-CN" w:bidi="ar-SA"/>
        </w:rPr>
        <w:t>7</w:t>
      </w:r>
      <w:r>
        <w:rPr>
          <w:rFonts w:hint="eastAsia" w:ascii="Times New Roman" w:hAnsi="Times New Roman" w:eastAsia="方正仿宋简体" w:cs="Times New Roman"/>
          <w:b w:val="0"/>
          <w:kern w:val="2"/>
          <w:sz w:val="32"/>
          <w:szCs w:val="32"/>
          <w:lang w:val="en-US" w:eastAsia="zh-CN" w:bidi="ar-SA"/>
        </w:rPr>
        <w:t>月成功获评</w:t>
      </w:r>
      <w:r>
        <w:rPr>
          <w:rFonts w:hint="default" w:ascii="Times New Roman" w:hAnsi="Times New Roman" w:eastAsia="方正仿宋简体" w:cs="Times New Roman"/>
          <w:b w:val="0"/>
          <w:kern w:val="2"/>
          <w:sz w:val="32"/>
          <w:szCs w:val="32"/>
          <w:lang w:val="en-US" w:eastAsia="zh-CN" w:bidi="ar-SA"/>
        </w:rPr>
        <w:t>AAA</w:t>
      </w:r>
      <w:r>
        <w:rPr>
          <w:rFonts w:hint="eastAsia" w:ascii="Times New Roman" w:hAnsi="Times New Roman" w:eastAsia="方正仿宋简体" w:cs="Times New Roman"/>
          <w:b w:val="0"/>
          <w:kern w:val="2"/>
          <w:sz w:val="32"/>
          <w:szCs w:val="32"/>
          <w:lang w:val="en-US" w:eastAsia="zh-CN" w:bidi="ar-SA"/>
        </w:rPr>
        <w:t>主体信用评级。</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default"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集团坚持以现代交通产业及城市大数据融投建运管为</w:t>
      </w:r>
      <w:r>
        <w:rPr>
          <w:rFonts w:hint="eastAsia" w:ascii="方正仿宋简体" w:hAnsi="方正仿宋简体" w:eastAsia="方正仿宋简体" w:cs="方正仿宋简体"/>
          <w:b/>
          <w:kern w:val="2"/>
          <w:sz w:val="32"/>
          <w:szCs w:val="32"/>
          <w:lang w:val="en-US" w:eastAsia="zh-CN" w:bidi="ar"/>
        </w:rPr>
        <w:t>“</w:t>
      </w:r>
      <w:r>
        <w:rPr>
          <w:rFonts w:hint="eastAsia" w:ascii="方正仿宋简体" w:hAnsi="方正仿宋简体" w:eastAsia="方正仿宋简体" w:cs="方正仿宋简体"/>
          <w:b/>
          <w:bCs/>
          <w:kern w:val="2"/>
          <w:sz w:val="32"/>
          <w:szCs w:val="32"/>
          <w:lang w:val="en-US" w:eastAsia="zh-CN" w:bidi="ar"/>
        </w:rPr>
        <w:t>两个核心</w:t>
      </w:r>
      <w:r>
        <w:rPr>
          <w:rFonts w:hint="eastAsia" w:ascii="方正仿宋简体" w:hAnsi="方正仿宋简体" w:eastAsia="方正仿宋简体" w:cs="方正仿宋简体"/>
          <w:b/>
          <w:kern w:val="2"/>
          <w:sz w:val="32"/>
          <w:szCs w:val="32"/>
          <w:lang w:val="en-US" w:eastAsia="zh-CN" w:bidi="ar"/>
        </w:rPr>
        <w:t>”，</w:t>
      </w:r>
      <w:r>
        <w:rPr>
          <w:rFonts w:hint="eastAsia" w:ascii="Times New Roman" w:hAnsi="Times New Roman" w:eastAsia="方正仿宋简体" w:cs="Times New Roman"/>
          <w:b w:val="0"/>
          <w:kern w:val="2"/>
          <w:sz w:val="32"/>
          <w:szCs w:val="32"/>
          <w:lang w:val="en-US" w:eastAsia="zh-CN" w:bidi="ar-SA"/>
        </w:rPr>
        <w:t>积极培育交通投资、交通建设、交通运输、交通资产、综合能源、数字信息</w:t>
      </w:r>
      <w:r>
        <w:rPr>
          <w:rFonts w:hint="eastAsia" w:ascii="方正仿宋简体" w:hAnsi="方正仿宋简体" w:eastAsia="方正仿宋简体" w:cs="方正仿宋简体"/>
          <w:b/>
          <w:kern w:val="2"/>
          <w:sz w:val="32"/>
          <w:szCs w:val="32"/>
          <w:lang w:val="en-US" w:eastAsia="zh-CN" w:bidi="ar"/>
        </w:rPr>
        <w:t>“</w:t>
      </w:r>
      <w:r>
        <w:rPr>
          <w:rFonts w:hint="eastAsia" w:ascii="方正仿宋简体" w:hAnsi="方正仿宋简体" w:eastAsia="方正仿宋简体" w:cs="方正仿宋简体"/>
          <w:b/>
          <w:bCs/>
          <w:kern w:val="2"/>
          <w:sz w:val="32"/>
          <w:szCs w:val="32"/>
          <w:lang w:val="en-US" w:eastAsia="zh-CN" w:bidi="ar"/>
        </w:rPr>
        <w:t>六个板块</w:t>
      </w:r>
      <w:r>
        <w:rPr>
          <w:rFonts w:hint="eastAsia" w:ascii="方正仿宋简体" w:hAnsi="方正仿宋简体" w:eastAsia="方正仿宋简体" w:cs="方正仿宋简体"/>
          <w:b/>
          <w:kern w:val="2"/>
          <w:sz w:val="32"/>
          <w:szCs w:val="32"/>
          <w:lang w:val="en-US" w:eastAsia="zh-CN" w:bidi="ar"/>
        </w:rPr>
        <w:t>”</w:t>
      </w:r>
      <w:r>
        <w:rPr>
          <w:rFonts w:hint="eastAsia" w:ascii="Times New Roman" w:hAnsi="Times New Roman" w:eastAsia="方正仿宋简体" w:cs="Times New Roman"/>
          <w:b w:val="0"/>
          <w:kern w:val="2"/>
          <w:sz w:val="32"/>
          <w:szCs w:val="32"/>
          <w:lang w:val="en-US" w:eastAsia="zh-CN" w:bidi="ar-SA"/>
        </w:rPr>
        <w:t>业务新局，着力构建“大交通”格局、“大数据”网络。</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集团成立以来，持续在高速、国省干线、铁路、市政等项目上发力，主动承接多个省市重点交通项目，投资交通基础设施建设项目线路累计长达</w:t>
      </w:r>
      <w:r>
        <w:rPr>
          <w:rFonts w:hint="default" w:ascii="Times New Roman" w:hAnsi="Times New Roman" w:eastAsia="方正仿宋简体" w:cs="Times New Roman"/>
          <w:b w:val="0"/>
          <w:kern w:val="2"/>
          <w:sz w:val="32"/>
          <w:szCs w:val="32"/>
          <w:lang w:val="en-US" w:eastAsia="zh-CN" w:bidi="ar-SA"/>
        </w:rPr>
        <w:t>726km</w:t>
      </w:r>
      <w:r>
        <w:rPr>
          <w:rFonts w:hint="eastAsia" w:ascii="Times New Roman" w:hAnsi="Times New Roman" w:eastAsia="方正仿宋简体" w:cs="Times New Roman"/>
          <w:b w:val="0"/>
          <w:kern w:val="2"/>
          <w:sz w:val="32"/>
          <w:szCs w:val="32"/>
          <w:lang w:val="en-US" w:eastAsia="zh-CN" w:bidi="ar-SA"/>
        </w:rPr>
        <w:t>，构建形成公交“小蓝”、古城电瓶车“小白”、自行车“小黄”、电单车“小橙”等“多彩交通”公共出行体系，在“交通强市”中展示交发作为。</w:t>
      </w:r>
      <w:r>
        <w:rPr>
          <w:rFonts w:hint="eastAsia" w:ascii="方正仿宋简体" w:hAnsi="方正仿宋简体" w:eastAsia="方正仿宋简体" w:cs="方正仿宋简体"/>
          <w:b/>
          <w:bCs/>
          <w:kern w:val="2"/>
          <w:sz w:val="32"/>
          <w:szCs w:val="32"/>
          <w:lang w:val="en-US" w:eastAsia="zh-CN" w:bidi="ar"/>
        </w:rPr>
        <w:t>延伸“新交通”</w:t>
      </w:r>
      <w:r>
        <w:rPr>
          <w:rFonts w:hint="eastAsia" w:ascii="Times New Roman" w:hAnsi="Times New Roman" w:eastAsia="方正仿宋简体" w:cs="Times New Roman"/>
          <w:b w:val="0"/>
          <w:kern w:val="2"/>
          <w:sz w:val="32"/>
          <w:szCs w:val="32"/>
          <w:lang w:val="en-US" w:eastAsia="zh-CN" w:bidi="ar-SA"/>
        </w:rPr>
        <w:t>，主动介入交通基础设施关联产业，催生土地综合开发，德化陶瓷电商物流园、海峡雕艺文化产业园等一批特色产业园项目策划生成落地；</w:t>
      </w:r>
      <w:r>
        <w:rPr>
          <w:rFonts w:hint="eastAsia" w:ascii="方正仿宋简体" w:hAnsi="方正仿宋简体" w:eastAsia="方正仿宋简体" w:cs="方正仿宋简体"/>
          <w:b/>
          <w:bCs/>
          <w:kern w:val="2"/>
          <w:sz w:val="32"/>
          <w:szCs w:val="32"/>
          <w:lang w:val="en-US" w:eastAsia="zh-CN" w:bidi="ar"/>
        </w:rPr>
        <w:t>抢滩“新经济”</w:t>
      </w:r>
      <w:r>
        <w:rPr>
          <w:rFonts w:hint="eastAsia" w:ascii="Times New Roman" w:hAnsi="Times New Roman" w:eastAsia="方正仿宋简体" w:cs="Times New Roman"/>
          <w:b w:val="0"/>
          <w:kern w:val="2"/>
          <w:sz w:val="32"/>
          <w:szCs w:val="32"/>
          <w:lang w:val="en-US" w:eastAsia="zh-CN" w:bidi="ar-SA"/>
        </w:rPr>
        <w:t>，规划大数据产业，成立首家市属国有全资信息化企业，积极服务“数字泉州”建设；</w:t>
      </w:r>
      <w:r>
        <w:rPr>
          <w:rFonts w:hint="eastAsia" w:ascii="方正仿宋简体" w:hAnsi="方正仿宋简体" w:eastAsia="方正仿宋简体" w:cs="方正仿宋简体"/>
          <w:b/>
          <w:bCs/>
          <w:kern w:val="2"/>
          <w:sz w:val="32"/>
          <w:szCs w:val="32"/>
          <w:lang w:val="en-US" w:eastAsia="zh-CN" w:bidi="ar"/>
        </w:rPr>
        <w:t>布局“新能源”</w:t>
      </w:r>
      <w:r>
        <w:rPr>
          <w:rFonts w:hint="eastAsia" w:ascii="Times New Roman" w:hAnsi="Times New Roman" w:eastAsia="方正仿宋简体" w:cs="Times New Roman"/>
          <w:b w:val="0"/>
          <w:kern w:val="2"/>
          <w:sz w:val="32"/>
          <w:szCs w:val="32"/>
          <w:lang w:val="en-US" w:eastAsia="zh-CN" w:bidi="ar-SA"/>
        </w:rPr>
        <w:t>，组建市能源集团，主动承担全市“十四五”能源发展专项规划部署，积极参与全市清洁能源、基础能源、绿色能源、数字能源等项目规划和投资、建设、运营等工作；</w:t>
      </w:r>
      <w:r>
        <w:rPr>
          <w:rFonts w:hint="eastAsia" w:ascii="方正仿宋简体" w:hAnsi="方正仿宋简体" w:eastAsia="方正仿宋简体" w:cs="方正仿宋简体"/>
          <w:b/>
          <w:bCs/>
          <w:kern w:val="2"/>
          <w:sz w:val="32"/>
          <w:szCs w:val="32"/>
          <w:lang w:val="en-US" w:eastAsia="zh-CN" w:bidi="ar"/>
        </w:rPr>
        <w:t>拓展“类金融”</w:t>
      </w:r>
      <w:r>
        <w:rPr>
          <w:rFonts w:hint="eastAsia" w:ascii="Times New Roman" w:hAnsi="Times New Roman" w:eastAsia="方正仿宋简体" w:cs="Times New Roman"/>
          <w:b w:val="0"/>
          <w:kern w:val="2"/>
          <w:sz w:val="32"/>
          <w:szCs w:val="32"/>
          <w:lang w:val="en-US" w:eastAsia="zh-CN" w:bidi="ar-SA"/>
        </w:rPr>
        <w:t>，组建产业投资集团，打造以财务共享中心为核心的“四位一体”金融服务平台和以基金管理公司为核心的“资本运作</w:t>
      </w:r>
      <w:r>
        <w:rPr>
          <w:rFonts w:hint="default" w:ascii="Times New Roman" w:hAnsi="Times New Roman" w:eastAsia="方正仿宋简体" w:cs="Times New Roman"/>
          <w:b w:val="0"/>
          <w:kern w:val="2"/>
          <w:sz w:val="32"/>
          <w:szCs w:val="32"/>
          <w:lang w:val="en-US" w:eastAsia="zh-CN" w:bidi="ar-SA"/>
        </w:rPr>
        <w:t>+</w:t>
      </w:r>
      <w:r>
        <w:rPr>
          <w:rFonts w:hint="eastAsia" w:ascii="Times New Roman" w:hAnsi="Times New Roman" w:eastAsia="方正仿宋简体" w:cs="Times New Roman"/>
          <w:b w:val="0"/>
          <w:kern w:val="2"/>
          <w:sz w:val="32"/>
          <w:szCs w:val="32"/>
          <w:lang w:val="en-US" w:eastAsia="zh-CN" w:bidi="ar-SA"/>
        </w:rPr>
        <w:t>战略收购</w:t>
      </w:r>
      <w:r>
        <w:rPr>
          <w:rFonts w:hint="default" w:ascii="Times New Roman" w:hAnsi="Times New Roman" w:eastAsia="方正仿宋简体" w:cs="Times New Roman"/>
          <w:b w:val="0"/>
          <w:kern w:val="2"/>
          <w:sz w:val="32"/>
          <w:szCs w:val="32"/>
          <w:lang w:val="en-US" w:eastAsia="zh-CN" w:bidi="ar-SA"/>
        </w:rPr>
        <w:t>+</w:t>
      </w:r>
      <w:r>
        <w:rPr>
          <w:rFonts w:hint="eastAsia" w:ascii="Times New Roman" w:hAnsi="Times New Roman" w:eastAsia="方正仿宋简体" w:cs="Times New Roman"/>
          <w:b w:val="0"/>
          <w:kern w:val="2"/>
          <w:sz w:val="32"/>
          <w:szCs w:val="32"/>
          <w:lang w:val="en-US" w:eastAsia="zh-CN" w:bidi="ar-SA"/>
        </w:rPr>
        <w:t>基金投资</w:t>
      </w:r>
      <w:r>
        <w:rPr>
          <w:rFonts w:hint="default" w:ascii="Times New Roman" w:hAnsi="Times New Roman" w:eastAsia="方正仿宋简体" w:cs="Times New Roman"/>
          <w:b w:val="0"/>
          <w:kern w:val="2"/>
          <w:sz w:val="32"/>
          <w:szCs w:val="32"/>
          <w:lang w:val="en-US" w:eastAsia="zh-CN" w:bidi="ar-SA"/>
        </w:rPr>
        <w:t>+</w:t>
      </w:r>
      <w:r>
        <w:rPr>
          <w:rFonts w:hint="eastAsia" w:ascii="Times New Roman" w:hAnsi="Times New Roman" w:eastAsia="方正仿宋简体" w:cs="Times New Roman"/>
          <w:b w:val="0"/>
          <w:kern w:val="2"/>
          <w:sz w:val="32"/>
          <w:szCs w:val="32"/>
          <w:lang w:val="en-US" w:eastAsia="zh-CN" w:bidi="ar-SA"/>
        </w:rPr>
        <w:t>股权投资</w:t>
      </w:r>
      <w:r>
        <w:rPr>
          <w:rFonts w:hint="default" w:ascii="Times New Roman" w:hAnsi="Times New Roman" w:eastAsia="方正仿宋简体" w:cs="Times New Roman"/>
          <w:b w:val="0"/>
          <w:kern w:val="2"/>
          <w:sz w:val="32"/>
          <w:szCs w:val="32"/>
          <w:lang w:val="en-US" w:eastAsia="zh-CN" w:bidi="ar-SA"/>
        </w:rPr>
        <w:t>+</w:t>
      </w:r>
      <w:r>
        <w:rPr>
          <w:rFonts w:hint="eastAsia" w:ascii="Times New Roman" w:hAnsi="Times New Roman" w:eastAsia="方正仿宋简体" w:cs="Times New Roman"/>
          <w:b w:val="0"/>
          <w:kern w:val="2"/>
          <w:sz w:val="32"/>
          <w:szCs w:val="32"/>
          <w:lang w:val="en-US" w:eastAsia="zh-CN" w:bidi="ar-SA"/>
        </w:rPr>
        <w:t>财务性投资”的投资管理平台；在交通基础设施建设、民生服务保障、交通产业发展等领域发挥起市属国资集团的重要力量作用。截至2023年7月底，集团资产总额1010亿元，净资产530亿元，资产负债率48.54%。上半年，实现营业收入34亿元，利润总额2.3亿元。</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权属一级企业</w:t>
      </w:r>
      <w:r>
        <w:rPr>
          <w:rFonts w:hint="default" w:ascii="Times New Roman" w:hAnsi="Times New Roman" w:eastAsia="方正仿宋简体" w:cs="Times New Roman"/>
          <w:b w:val="0"/>
          <w:kern w:val="2"/>
          <w:sz w:val="32"/>
          <w:szCs w:val="32"/>
          <w:lang w:val="en-US" w:eastAsia="zh-CN" w:bidi="ar-SA"/>
        </w:rPr>
        <w:t>10</w:t>
      </w:r>
      <w:r>
        <w:rPr>
          <w:rFonts w:hint="eastAsia" w:ascii="Times New Roman" w:hAnsi="Times New Roman" w:eastAsia="方正仿宋简体" w:cs="Times New Roman"/>
          <w:b w:val="0"/>
          <w:kern w:val="2"/>
          <w:sz w:val="32"/>
          <w:szCs w:val="32"/>
          <w:lang w:val="en-US" w:eastAsia="zh-CN" w:bidi="ar-SA"/>
        </w:rPr>
        <w:t>家，共有各级参控股企业</w:t>
      </w:r>
      <w:r>
        <w:rPr>
          <w:rFonts w:hint="default" w:ascii="Times New Roman" w:hAnsi="Times New Roman" w:eastAsia="方正仿宋简体" w:cs="Times New Roman"/>
          <w:b w:val="0"/>
          <w:kern w:val="2"/>
          <w:sz w:val="32"/>
          <w:szCs w:val="32"/>
          <w:lang w:val="en-US" w:eastAsia="zh-CN" w:bidi="ar-SA"/>
        </w:rPr>
        <w:t>137</w:t>
      </w:r>
      <w:r>
        <w:rPr>
          <w:rFonts w:hint="eastAsia" w:ascii="Times New Roman" w:hAnsi="Times New Roman" w:eastAsia="方正仿宋简体" w:cs="Times New Roman"/>
          <w:b w:val="0"/>
          <w:kern w:val="2"/>
          <w:sz w:val="32"/>
          <w:szCs w:val="32"/>
          <w:lang w:val="en-US" w:eastAsia="zh-CN" w:bidi="ar-SA"/>
        </w:rPr>
        <w:t>家，现有职工人近万名。共设基层党组织</w:t>
      </w:r>
      <w:r>
        <w:rPr>
          <w:rFonts w:hint="default" w:ascii="Times New Roman" w:hAnsi="Times New Roman" w:eastAsia="方正仿宋简体" w:cs="Times New Roman"/>
          <w:b w:val="0"/>
          <w:kern w:val="2"/>
          <w:sz w:val="32"/>
          <w:szCs w:val="32"/>
          <w:lang w:val="en-US" w:eastAsia="zh-CN" w:bidi="ar-SA"/>
        </w:rPr>
        <w:t>64</w:t>
      </w:r>
      <w:r>
        <w:rPr>
          <w:rFonts w:hint="eastAsia" w:ascii="Times New Roman" w:hAnsi="Times New Roman" w:eastAsia="方正仿宋简体" w:cs="Times New Roman"/>
          <w:b w:val="0"/>
          <w:kern w:val="2"/>
          <w:sz w:val="32"/>
          <w:szCs w:val="32"/>
          <w:lang w:val="en-US" w:eastAsia="zh-CN" w:bidi="ar-SA"/>
        </w:rPr>
        <w:t>个，其中党委</w:t>
      </w:r>
      <w:r>
        <w:rPr>
          <w:rFonts w:hint="default" w:ascii="Times New Roman" w:hAnsi="Times New Roman" w:eastAsia="方正仿宋简体" w:cs="Times New Roman"/>
          <w:b w:val="0"/>
          <w:kern w:val="2"/>
          <w:sz w:val="32"/>
          <w:szCs w:val="32"/>
          <w:lang w:val="en-US" w:eastAsia="zh-CN" w:bidi="ar-SA"/>
        </w:rPr>
        <w:t>6</w:t>
      </w:r>
      <w:r>
        <w:rPr>
          <w:rFonts w:hint="eastAsia" w:ascii="Times New Roman" w:hAnsi="Times New Roman" w:eastAsia="方正仿宋简体" w:cs="Times New Roman"/>
          <w:b w:val="0"/>
          <w:kern w:val="2"/>
          <w:sz w:val="32"/>
          <w:szCs w:val="32"/>
          <w:lang w:val="en-US" w:eastAsia="zh-CN" w:bidi="ar-SA"/>
        </w:rPr>
        <w:t>个、党总支</w:t>
      </w:r>
      <w:r>
        <w:rPr>
          <w:rFonts w:hint="default" w:ascii="Times New Roman" w:hAnsi="Times New Roman" w:eastAsia="方正仿宋简体" w:cs="Times New Roman"/>
          <w:b w:val="0"/>
          <w:kern w:val="2"/>
          <w:sz w:val="32"/>
          <w:szCs w:val="32"/>
          <w:lang w:val="en-US" w:eastAsia="zh-CN" w:bidi="ar-SA"/>
        </w:rPr>
        <w:t>2</w:t>
      </w:r>
      <w:r>
        <w:rPr>
          <w:rFonts w:hint="eastAsia" w:ascii="Times New Roman" w:hAnsi="Times New Roman" w:eastAsia="方正仿宋简体" w:cs="Times New Roman"/>
          <w:b w:val="0"/>
          <w:kern w:val="2"/>
          <w:sz w:val="32"/>
          <w:szCs w:val="32"/>
          <w:lang w:val="en-US" w:eastAsia="zh-CN" w:bidi="ar-SA"/>
        </w:rPr>
        <w:t>个、党支部</w:t>
      </w:r>
      <w:r>
        <w:rPr>
          <w:rFonts w:hint="default" w:ascii="Times New Roman" w:hAnsi="Times New Roman" w:eastAsia="方正仿宋简体" w:cs="Times New Roman"/>
          <w:b w:val="0"/>
          <w:kern w:val="2"/>
          <w:sz w:val="32"/>
          <w:szCs w:val="32"/>
          <w:lang w:val="en-US" w:eastAsia="zh-CN" w:bidi="ar-SA"/>
        </w:rPr>
        <w:t>56</w:t>
      </w:r>
      <w:r>
        <w:rPr>
          <w:rFonts w:hint="eastAsia" w:ascii="Times New Roman" w:hAnsi="Times New Roman" w:eastAsia="方正仿宋简体" w:cs="Times New Roman"/>
          <w:b w:val="0"/>
          <w:kern w:val="2"/>
          <w:sz w:val="32"/>
          <w:szCs w:val="32"/>
          <w:lang w:val="en-US" w:eastAsia="zh-CN" w:bidi="ar-SA"/>
        </w:rPr>
        <w:t>个，党员</w:t>
      </w:r>
      <w:r>
        <w:rPr>
          <w:rFonts w:hint="default" w:ascii="Times New Roman" w:hAnsi="Times New Roman" w:eastAsia="方正仿宋简体" w:cs="Times New Roman"/>
          <w:b w:val="0"/>
          <w:kern w:val="2"/>
          <w:sz w:val="32"/>
          <w:szCs w:val="32"/>
          <w:lang w:val="en-US" w:eastAsia="zh-CN" w:bidi="ar-SA"/>
        </w:rPr>
        <w:t>1195</w:t>
      </w:r>
      <w:r>
        <w:rPr>
          <w:rFonts w:hint="eastAsia" w:ascii="Times New Roman" w:hAnsi="Times New Roman" w:eastAsia="方正仿宋简体" w:cs="Times New Roman"/>
          <w:b w:val="0"/>
          <w:kern w:val="2"/>
          <w:sz w:val="32"/>
          <w:szCs w:val="32"/>
          <w:lang w:val="en-US" w:eastAsia="zh-CN" w:bidi="ar-SA"/>
        </w:rPr>
        <w:t>名。</w:t>
      </w:r>
    </w:p>
    <w:p>
      <w:pPr>
        <w:spacing w:before="311" w:beforeLines="50" w:after="311" w:afterLines="50" w:line="470" w:lineRule="exact"/>
        <w:rPr>
          <w:rFonts w:hint="eastAsia" w:eastAsia="方正小标宋简体"/>
          <w:b w:val="0"/>
          <w:sz w:val="32"/>
          <w:szCs w:val="22"/>
        </w:rPr>
      </w:pPr>
    </w:p>
    <w:p>
      <w:pPr>
        <w:spacing w:before="311" w:beforeLines="50" w:after="311" w:afterLines="50" w:line="470" w:lineRule="exact"/>
        <w:rPr>
          <w:rFonts w:eastAsia="方正小标宋简体"/>
          <w:b w:val="0"/>
          <w:sz w:val="32"/>
          <w:szCs w:val="22"/>
        </w:rPr>
      </w:pPr>
      <w:r>
        <w:rPr>
          <w:rFonts w:hint="eastAsia" w:eastAsia="方正小标宋简体"/>
          <w:b w:val="0"/>
          <w:sz w:val="32"/>
          <w:szCs w:val="22"/>
        </w:rPr>
        <w:t>权属企业</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rPr>
      </w:pPr>
      <w:r>
        <w:rPr>
          <w:rFonts w:hint="eastAsia" w:ascii="黑体" w:hAnsi="黑体" w:eastAsia="黑体" w:cs="黑体"/>
          <w:b w:val="0"/>
          <w:sz w:val="30"/>
          <w:szCs w:val="30"/>
        </w:rPr>
        <w:t>1．泉州市路桥发展集团有限公司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——致力成为交通基础设施投融建运管综合服务提供商</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ascii="Times New Roman" w:hAnsi="Times New Roman" w:eastAsia="方正仿宋简体" w:cs="Times New Roman"/>
          <w:b w:val="0"/>
          <w:sz w:val="30"/>
          <w:szCs w:val="30"/>
        </w:rPr>
      </w:pPr>
      <w:r>
        <w:rPr>
          <w:rFonts w:hint="eastAsia" w:ascii="Times New Roman" w:hAnsi="Times New Roman" w:eastAsia="方正仿宋简体" w:cs="Times New Roman"/>
          <w:b w:val="0"/>
          <w:sz w:val="30"/>
          <w:szCs w:val="30"/>
        </w:rPr>
        <w:t>以交通基础设施投资为主业，工程咨询、检测、代建、运营、养护、建材供应等全产业链为延伸，</w:t>
      </w:r>
      <w:r>
        <w:rPr>
          <w:rFonts w:ascii="Times New Roman" w:hAnsi="Times New Roman" w:eastAsia="方正仿宋简体" w:cs="Times New Roman"/>
          <w:b w:val="0"/>
          <w:sz w:val="30"/>
          <w:szCs w:val="30"/>
        </w:rPr>
        <w:t>先后参与投资建设泉三高速公路、泉厦漳城市联盟路泉州段、泉州湾跨海大桥、泉南及沙厦改扩建工程等全市17条高速公路。</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ascii="Times New Roman" w:hAnsi="Times New Roman" w:eastAsia="方正仿宋简体" w:cs="Times New Roman"/>
          <w:b w:val="0"/>
          <w:sz w:val="30"/>
          <w:szCs w:val="30"/>
        </w:rPr>
      </w:pPr>
      <w:r>
        <w:rPr>
          <w:rFonts w:ascii="Times New Roman" w:hAnsi="Times New Roman" w:eastAsia="方正仿宋简体" w:cs="Times New Roman"/>
          <w:b w:val="0"/>
          <w:sz w:val="30"/>
          <w:szCs w:val="30"/>
        </w:rPr>
        <w:t>公司地址：泉州市丰泽区丰泽街路桥大厦</w:t>
      </w:r>
      <w:r>
        <w:rPr>
          <w:rFonts w:hint="eastAsia" w:ascii="Times New Roman" w:hAnsi="Times New Roman" w:eastAsia="方正仿宋简体" w:cs="Times New Roman"/>
          <w:b w:val="0"/>
          <w:sz w:val="30"/>
          <w:szCs w:val="30"/>
        </w:rPr>
        <w:t>4楼</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rPr>
      </w:pPr>
      <w:r>
        <w:rPr>
          <w:rFonts w:hint="eastAsia" w:ascii="黑体" w:hAnsi="黑体" w:eastAsia="黑体" w:cs="黑体"/>
          <w:b w:val="0"/>
          <w:sz w:val="30"/>
          <w:szCs w:val="30"/>
        </w:rPr>
        <w:t>2．福建省泉运实业集团有限公司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——泉州交通运输产业投资运营服务商</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交通运输部重点联系、福建省规模最大的道路运输企业之一，主营道路运输、资产运营、汽车后服务三大核心业务，延伸拓展商贸酒店、旅游餐饮、园区服务等关联产业、新兴项目，致力打造成为福建省一流交通运输产业投资运营服务商。</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公司地址：泉州市鲤城区民权路10号</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rPr>
      </w:pPr>
      <w:r>
        <w:rPr>
          <w:rFonts w:hint="eastAsia" w:ascii="黑体" w:hAnsi="黑体" w:eastAsia="黑体" w:cs="黑体"/>
          <w:b w:val="0"/>
          <w:sz w:val="30"/>
          <w:szCs w:val="30"/>
        </w:rPr>
        <w:t>3．福建第一公路工程集团有限公司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——城市及交通基础设施建设全产业链及全生命周期管理提供商</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具备公路工程施工总承包特级、公路工程设计行业甲级等资质，凭借丰富的施工经验、雄厚的技术力量、先进的机械设备和过硬的施工队伍，先后承建国内外颇具影响的大型工程项目。</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公司地址：泉州市台商投资区杏园路69号闽路大厦</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rPr>
      </w:pPr>
      <w:r>
        <w:rPr>
          <w:rFonts w:hint="eastAsia" w:ascii="黑体" w:hAnsi="黑体" w:eastAsia="黑体" w:cs="黑体"/>
          <w:b w:val="0"/>
          <w:sz w:val="30"/>
          <w:szCs w:val="30"/>
        </w:rPr>
        <w:t>4．泉州市公交集团有限责任公司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——泉州区域最大的国有城市公共交通服务和公交场站管理运营商</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现已形成营运常规公交、微公交、古城电瓶车、公共自行车、共享电单车和公共停车场组成的“六位一体”新型公共交通服务体系。</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公司地址：泉州市丰泽区丰泽街公交大厦2号楼5-6楼</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rPr>
      </w:pPr>
      <w:r>
        <w:rPr>
          <w:rFonts w:hint="eastAsia" w:ascii="黑体" w:hAnsi="黑体" w:eastAsia="黑体" w:cs="黑体"/>
          <w:b w:val="0"/>
          <w:sz w:val="30"/>
          <w:szCs w:val="30"/>
        </w:rPr>
        <w:t>5．泉州市搏浪科技集团有限公司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——智慧信息化服务供应商</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集研发、运维、服务为一体，深耕交通信息化领域，全面拓展信息化业务场景，构建以数字交通为核心，智慧政务及电子采购为两翼的“一核两翼”产业布局，打造新型智慧城市产业生态，致力于成为泉州地区最具影响力的国有信息化企业。</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公司地址：泉州市丰泽区丰泽街公交大厦8-9楼</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lang w:val="en-US" w:eastAsia="zh-CN"/>
        </w:rPr>
      </w:pPr>
      <w:r>
        <w:rPr>
          <w:rFonts w:hint="eastAsia" w:ascii="黑体" w:hAnsi="黑体" w:eastAsia="黑体" w:cs="黑体"/>
          <w:b w:val="0"/>
          <w:sz w:val="30"/>
          <w:szCs w:val="30"/>
          <w:lang w:val="en-US" w:eastAsia="zh-CN"/>
        </w:rPr>
        <w:t>6．泉州市能源发展集团有限公司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——打造具备核心竞争力的区域一流能源产业领军者</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构建以“综合能源产业”为核心，“场站运营+资本运作”为两翼，形成以传统能源为基础，光伏、充电为支撑，多种新能源为引领的产业布局，重点发挥泉州市能源投融建管运主力军作用，打造具备核心竞争力的区域一流能源产业领军者。</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公司地址：泉州市丰泽区普贤路962号能源集团3楼人力资源部</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lang w:val="en-US" w:eastAsia="zh-CN"/>
        </w:rPr>
      </w:pPr>
      <w:r>
        <w:rPr>
          <w:rFonts w:hint="eastAsia" w:ascii="黑体" w:hAnsi="黑体" w:eastAsia="黑体" w:cs="黑体"/>
          <w:b w:val="0"/>
          <w:sz w:val="30"/>
          <w:szCs w:val="30"/>
          <w:lang w:val="en-US" w:eastAsia="zh-CN"/>
        </w:rPr>
        <w:t>7．泉州交发置业投资集团有限公司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——泉州地产综合开发和运营服务商</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致力于土地资源综合开发、特色产业园建设运营和建材生产经营，目前已落地中国陶瓷电商物流园、石化陆地港、海峡雕艺文化产业园、泉州船厂、四个建材基地等项目，石化品及建材供应链贸易已初具规模。</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公司地址：泉州市丰泽区丰泽街公交大厦2号楼3楼</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lang w:val="en-US" w:eastAsia="zh-CN"/>
        </w:rPr>
      </w:pPr>
      <w:r>
        <w:rPr>
          <w:rFonts w:hint="eastAsia" w:ascii="黑体" w:hAnsi="黑体" w:eastAsia="黑体" w:cs="黑体"/>
          <w:b w:val="0"/>
          <w:sz w:val="30"/>
          <w:szCs w:val="30"/>
          <w:lang w:val="en-US" w:eastAsia="zh-CN"/>
        </w:rPr>
        <w:t>8．泉州大数据运营服务有限公司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——市政务数据汇聚共享平台技术服务单位、市公共数据资源开发利用主体运营单位</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拥有专业化运营团队，主要负责数据合法合规的开发应用与开放共享、大数据基础设施建设运营，已承接涵盖“三平台一中心”我市公共数据资源运营体系建设。</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公司地址：泉州市丰泽区丰泽街公交大厦7楼</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lang w:val="en-US" w:eastAsia="zh-CN"/>
        </w:rPr>
      </w:pPr>
      <w:r>
        <w:rPr>
          <w:rFonts w:hint="eastAsia" w:ascii="黑体" w:hAnsi="黑体" w:eastAsia="黑体" w:cs="黑体"/>
          <w:b w:val="0"/>
          <w:sz w:val="30"/>
          <w:szCs w:val="30"/>
          <w:lang w:val="en-US" w:eastAsia="zh-CN"/>
        </w:rPr>
        <w:t>9.泉州市轨道交通集团有限公司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b w:val="0"/>
          <w:sz w:val="30"/>
          <w:szCs w:val="30"/>
        </w:rPr>
      </w:pPr>
      <w:r>
        <w:rPr>
          <w:rFonts w:hint="eastAsia" w:ascii="楷体" w:hAnsi="楷体" w:eastAsia="楷体" w:cs="楷体"/>
          <w:b w:val="0"/>
          <w:sz w:val="30"/>
          <w:szCs w:val="30"/>
        </w:rPr>
        <w:t>——泉州城市轨道交通建设运营服务商</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2020年6月应势组建，目前正以轨道交通引领片区开发的全新建设理念开展泉厦漳城际铁路R1线前期工作。</w:t>
      </w:r>
    </w:p>
    <w:p>
      <w:pPr>
        <w:keepNext w:val="0"/>
        <w:keepLines w:val="0"/>
        <w:pageBreakBefore w:val="0"/>
        <w:widowControl w:val="0"/>
        <w:kinsoku/>
        <w:wordWrap/>
        <w:overflowPunct/>
        <w:topLinePunct w:val="0"/>
        <w:autoSpaceDE/>
        <w:autoSpaceDN/>
        <w:bidi w:val="0"/>
        <w:adjustRightInd/>
        <w:snapToGrid/>
        <w:spacing w:line="576" w:lineRule="exact"/>
        <w:ind w:firstLine="594" w:firstLineChars="198"/>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公司地址：泉州市丰泽区丰泽街726号路桥大厦7-8楼</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b w:val="0"/>
          <w:sz w:val="30"/>
          <w:szCs w:val="30"/>
          <w:lang w:val="en-US" w:eastAsia="zh-CN"/>
        </w:rPr>
      </w:pPr>
      <w:r>
        <w:rPr>
          <w:rFonts w:hint="eastAsia" w:ascii="黑体" w:hAnsi="黑体" w:eastAsia="黑体" w:cs="黑体"/>
          <w:b w:val="0"/>
          <w:sz w:val="30"/>
          <w:szCs w:val="30"/>
          <w:lang w:val="en-US" w:eastAsia="zh-CN"/>
        </w:rPr>
        <w:t>10.泉州交发交通产业投资集团有限责任公司</w:t>
      </w:r>
    </w:p>
    <w:p>
      <w:pPr>
        <w:pStyle w:val="6"/>
        <w:keepNext w:val="0"/>
        <w:keepLines w:val="0"/>
        <w:pageBreakBefore w:val="0"/>
        <w:widowControl w:val="0"/>
        <w:kinsoku/>
        <w:wordWrap/>
        <w:overflowPunct/>
        <w:topLinePunct w:val="0"/>
        <w:autoSpaceDE/>
        <w:autoSpaceDN/>
        <w:bidi w:val="0"/>
        <w:adjustRightInd/>
        <w:snapToGrid/>
        <w:spacing w:after="0" w:line="576" w:lineRule="exact"/>
        <w:ind w:firstLine="600" w:firstLineChars="200"/>
        <w:textAlignment w:val="auto"/>
        <w:rPr>
          <w:rFonts w:hint="eastAsia" w:ascii="楷体" w:hAnsi="楷体" w:eastAsia="楷体" w:cs="楷体"/>
          <w:b w:val="0"/>
          <w:kern w:val="2"/>
          <w:sz w:val="30"/>
          <w:szCs w:val="30"/>
          <w:lang w:val="en-US" w:eastAsia="zh-CN" w:bidi="ar-SA"/>
        </w:rPr>
      </w:pPr>
      <w:r>
        <w:rPr>
          <w:rFonts w:hint="eastAsia" w:ascii="楷体" w:hAnsi="楷体" w:eastAsia="楷体" w:cs="楷体"/>
          <w:b w:val="0"/>
          <w:kern w:val="2"/>
          <w:sz w:val="30"/>
          <w:szCs w:val="30"/>
          <w:lang w:val="en-US" w:eastAsia="zh-CN" w:bidi="ar-SA"/>
        </w:rPr>
        <w:t>——综合性类金融</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投资集团以财务共享中心和供应链公司为两翼，提供稳定的经营业务支撑；以基金管理公司、融资租赁公司、商业保理公司作为投资类金融服务平台，建立高效的资本运作体系。致力于建立一体两翼三平台，全力推动投资集团实现高质量、跨越式发展，打造成治理结构完善、业务种类丰富、资本运作高效的综合性类金融集团。</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Times New Roman" w:hAnsi="Times New Roman" w:eastAsia="方正仿宋简体" w:cs="Times New Roman"/>
          <w:b w:val="0"/>
          <w:kern w:val="2"/>
          <w:sz w:val="30"/>
          <w:szCs w:val="30"/>
          <w:lang w:val="en-US" w:eastAsia="zh-CN" w:bidi="ar-SA"/>
        </w:rPr>
      </w:pPr>
      <w:r>
        <w:rPr>
          <w:rFonts w:hint="eastAsia" w:ascii="Times New Roman" w:hAnsi="Times New Roman" w:eastAsia="方正仿宋简体" w:cs="Times New Roman"/>
          <w:b w:val="0"/>
          <w:kern w:val="2"/>
          <w:sz w:val="30"/>
          <w:szCs w:val="30"/>
          <w:lang w:val="en-US" w:eastAsia="zh-CN" w:bidi="ar-SA"/>
        </w:rPr>
        <w:t>公司地址：泉州市丰泽区丰泽街公交大厦6楼</w:t>
      </w:r>
    </w:p>
    <w:p>
      <w:pPr>
        <w:pStyle w:val="6"/>
        <w:ind w:firstLine="0" w:firstLineChars="0"/>
        <w:rPr>
          <w:rFonts w:ascii="Times New Roman" w:hAnsi="Times New Roman" w:eastAsia="宋体"/>
          <w:b w:val="0"/>
          <w:bCs/>
          <w:sz w:val="28"/>
          <w:szCs w:val="28"/>
        </w:rPr>
      </w:pPr>
    </w:p>
    <w:p/>
    <w:sectPr>
      <w:pgSz w:w="11906" w:h="16838"/>
      <w:pgMar w:top="1418" w:right="1644" w:bottom="1247" w:left="1644" w:header="851" w:footer="992" w:gutter="0"/>
      <w:pgNumType w:start="0"/>
      <w:cols w:space="720" w:num="1"/>
      <w:titlePg/>
      <w:docGrid w:type="linesAndChar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2E3N2ZjYWJhZmY5ZDI2YWVkYTZjMjg4MzQ1ZTAifQ=="/>
  </w:docVars>
  <w:rsids>
    <w:rsidRoot w:val="00172A27"/>
    <w:rsid w:val="113B4D26"/>
    <w:rsid w:val="17971392"/>
    <w:rsid w:val="1C6E7E6B"/>
    <w:rsid w:val="1C997205"/>
    <w:rsid w:val="25474AC7"/>
    <w:rsid w:val="49DB2834"/>
    <w:rsid w:val="5086048C"/>
    <w:rsid w:val="6D576C59"/>
    <w:rsid w:val="7F79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b/>
      <w:kern w:val="2"/>
      <w:sz w:val="44"/>
      <w:lang w:val="en-US" w:eastAsia="zh-CN" w:bidi="ar-SA"/>
    </w:rPr>
  </w:style>
  <w:style w:type="paragraph" w:styleId="7">
    <w:name w:val="heading 1"/>
    <w:basedOn w:val="1"/>
    <w:next w:val="1"/>
    <w:qFormat/>
    <w:uiPriority w:val="9"/>
    <w:pPr>
      <w:spacing w:before="100" w:beforeAutospacing="1" w:after="100" w:afterAutospacing="1"/>
      <w:jc w:val="center"/>
      <w:outlineLvl w:val="0"/>
    </w:pPr>
    <w:rPr>
      <w:rFonts w:hint="eastAsia" w:ascii="宋体" w:hAnsi="宋体" w:eastAsia="方正小标宋简体" w:cs="宋体"/>
      <w:b w:val="0"/>
      <w:kern w:val="44"/>
      <w:sz w:val="36"/>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firstLineChars="200"/>
    </w:pPr>
  </w:style>
  <w:style w:type="paragraph" w:styleId="3">
    <w:name w:val="Body Text Indent"/>
    <w:basedOn w:val="1"/>
    <w:next w:val="4"/>
    <w:unhideWhenUsed/>
    <w:qFormat/>
    <w:uiPriority w:val="99"/>
    <w:pPr>
      <w:ind w:firstLine="560" w:firstLineChars="200"/>
    </w:pPr>
    <w:rPr>
      <w:rFonts w:eastAsia="仿宋_GB2312"/>
      <w:sz w:val="28"/>
    </w:rPr>
  </w:style>
  <w:style w:type="paragraph" w:styleId="4">
    <w:name w:val="Body Text"/>
    <w:basedOn w:val="1"/>
    <w:next w:val="5"/>
    <w:qFormat/>
    <w:uiPriority w:val="99"/>
    <w:pPr>
      <w:spacing w:after="120"/>
    </w:pPr>
    <w:rPr>
      <w:rFonts w:ascii="Calibri" w:hAnsi="Calibri"/>
      <w:szCs w:val="22"/>
    </w:rPr>
  </w:style>
  <w:style w:type="paragraph" w:styleId="5">
    <w:name w:val="Body Text Indent 3"/>
    <w:basedOn w:val="1"/>
    <w:next w:val="1"/>
    <w:qFormat/>
    <w:uiPriority w:val="0"/>
    <w:pPr>
      <w:adjustRightInd w:val="0"/>
      <w:snapToGrid w:val="0"/>
      <w:spacing w:line="360" w:lineRule="auto"/>
      <w:ind w:firstLine="420"/>
    </w:pPr>
    <w:rPr>
      <w:rFonts w:hint="eastAsia" w:ascii="仿宋_GB2312" w:hAnsi="Times New Roman" w:eastAsia="仿宋_GB2312" w:cs="Times New Roman"/>
      <w:bCs/>
      <w:sz w:val="32"/>
      <w:szCs w:val="32"/>
    </w:rPr>
  </w:style>
  <w:style w:type="paragraph" w:styleId="6">
    <w:name w:val="Body Text First Indent"/>
    <w:basedOn w:val="4"/>
    <w:qFormat/>
    <w:uiPriority w:val="0"/>
    <w:pPr>
      <w:ind w:firstLine="420" w:firstLineChars="1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itle"/>
    <w:basedOn w:val="1"/>
    <w:next w:val="1"/>
    <w:qFormat/>
    <w:uiPriority w:val="0"/>
    <w:pPr>
      <w:spacing w:line="600" w:lineRule="exact"/>
      <w:jc w:val="center"/>
      <w:outlineLvl w:val="0"/>
    </w:pPr>
    <w:rPr>
      <w:rFonts w:eastAsia="方正小标宋简体"/>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2238</Words>
  <Characters>2305</Characters>
  <Lines>1</Lines>
  <Paragraphs>1</Paragraphs>
  <TotalTime>2</TotalTime>
  <ScaleCrop>false</ScaleCrop>
  <LinksUpToDate>false</LinksUpToDate>
  <CharactersWithSpaces>2305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2023-07-17T07:35:00Z</dcterms:created>
  <dc:creator>RLB-01</dc:creator>
  <cp:lastModifiedBy>DELL</cp:lastModifiedBy>
  <dcterms:modified xsi:type="dcterms:W3CDTF">2023-09-20T09:38:51Z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2201E83982E64F4486E7B35CD078DABA_12</vt:lpwstr>
  </property>
</Properties>
</file>