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报考提示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 2014年8月11日以后发布公告招录的乡镇公务员，以及2015届以后分配到乡镇工作的选调生，在乡镇的最低服务年限为5年（含试用期），其中通过定向考录等优惠政策录用到乡镇的最低服务年限为8年（含试用期）。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2. 通过降低进入门槛等倾斜政策（包括降低学历条件、降低开考比例、少数民族考生加分、加试少数民族语言、限定本地户籍、限定最低服务年限等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录用的公务员，应当在所报考市（州）辖区内的艰苦边远县乡机关</w:t>
      </w:r>
      <w:r>
        <w:rPr>
          <w:rFonts w:eastAsia="仿宋_GB2312"/>
          <w:b/>
          <w:sz w:val="32"/>
          <w:szCs w:val="32"/>
        </w:rPr>
        <w:t>满规定的最低服务年限；未满最低服务年限的，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不得交流（含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公开遴选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考调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&gt;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）到本市（州）内的上级机关和非艰苦边远地区的机关；也不得交流（含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公开遴选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考调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&gt;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）到本省内其他市（州）和其他省（区、市）的机关（包括其中艰苦边远地区的机关）。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3. 通过定向招录、专项招录及特殊职位招录等录用的公务员（如：公安机关、监狱戒毒场所、机要系统等新招录人员，新招录基层司法所司法助理员、艰苦边远地区法官助理检察官助理，政法干警招录培养体制改革试点班学员&lt;简称“政法体改生”&gt;等），如在招考时已被告知其应在招录机关或者招考职位服务最低年限的，以及“五方面人员”（包括乡镇事业编制人员、优秀村党组织书记、到村任职过的选调生、第一书记、驻村工作队员）进班子、参加学历教育等情形明确约定有服务年限的，应严格执行有关服务年限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4. 2018年以后新录用选调生，到村任职时间未满2年的不得参加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公开遴选（考调）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5. 乡镇党政正职任期不满3年的，报考时需报经市（州）党委组织部审批同意。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6. 对存在达到服务年限前违规调离（含通过提任领导职务调离）情形的，在处理整改前资格审查不通过。</w:t>
      </w:r>
    </w:p>
    <w:p>
      <w:pPr>
        <w:spacing w:line="560" w:lineRule="exact"/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  7. 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基层工作经历</w:t>
      </w:r>
      <w:r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时间的计算和认定要注意把握以下原则：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到基层党政机关、事业单位、国有企业工作的，基层工作经历时间一般自报到之日算起；到其他经济组织、社会组织等单位工作的，基层工作经历时间一般以劳动合同约定的起始时间算起</w:t>
      </w:r>
      <w:r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。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基层工作时间可累计计算</w:t>
      </w:r>
      <w:r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，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有在基层工作期间借调上级部门等情形实际未在基层工作的，不能认定为基层工作经历。</w:t>
      </w:r>
    </w:p>
    <w:p>
      <w:pPr>
        <w:spacing w:line="560" w:lineRule="exact"/>
        <w:ind w:left="0" w:firstLine="649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8. 计算本级机关工作时间时，市（州）、县（市、区）、乡镇（街道）三级分别算作一级机关。本级机关工作时间以正式任职时间（含试用期）计算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，在本级机关借调工作的时间不能计算在内</w:t>
      </w:r>
      <w:r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在不同地区的同一层级机关工作时间，以及前后不连续的同一层级机关工作时间，可以累计计算。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9. 本机关工作时间以正式任职时间（含试用期）计算，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在本机关借调工作的时间不能计算在内</w:t>
      </w:r>
      <w:r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同一级机关中属于同一党组（党委）管理的机关之间转任，其转任前后的工作时间可累计计算本机关工作时间。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10. “近3年年度考核”是指2020、2021、2022年的年度考核，如截至目前尚未完成2022年年度考核工作的，可暂按称职来把握，考核结果明确后以实际结果为准。如进入公务员队伍时间不足3年，但已有的年度考核结果均无基本称职以下等次，可按年度考核符合要求来把握。新录用公务员试用期年度考核不确定等次的，按该年度考核结果符合要求把握。因受处分等导致年度考核不确定等次的，按该年度考核结果不符合要求把握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11. 非普通高等学历教育的其他国民教育形式（如自学考试、成人教育、网络教育、夜大、电大等）的毕业生取得毕业证后，符合职位要求资格条件的可以报考，有特殊要求的除外。</w:t>
      </w:r>
    </w:p>
    <w:p>
      <w:pPr>
        <w:spacing w:line="540" w:lineRule="exact"/>
        <w:ind w:firstLine="643" w:firstLineChars="200"/>
        <w:rPr>
          <w:rFonts w:hint="default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12.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考生不得报考低于其所任职务职级的遴选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（考调）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职位（如四级调研员不得报考拟任一级主任科员以下职级的职位）。</w:t>
      </w:r>
    </w:p>
    <w:p>
      <w:pPr>
        <w:spacing w:line="560" w:lineRule="exact"/>
        <w:ind w:left="0" w:firstLine="649"/>
        <w:rPr>
          <w:rFonts w:ascii="微软雅黑" w:hAnsi="微软雅黑"/>
          <w:b/>
          <w:bCs/>
          <w:sz w:val="18"/>
          <w:szCs w:val="18"/>
        </w:rPr>
      </w:pPr>
      <w:r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本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报考</w:t>
      </w:r>
      <w:r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提示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仅适用于</w:t>
      </w:r>
      <w:r>
        <w:rPr>
          <w:rFonts w:ascii="Times New Roman" w:hAnsi="Times New Roman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2023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年度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  <w:lang w:eastAsia="zh-CN"/>
        </w:rPr>
        <w:t>德阳市市直部门公开遴选（考调）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公务员工作。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涉及有关具体情况把握和特殊情况处理等未尽事宜，可直接电话咨询遴选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（考调）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单位。</w:t>
      </w:r>
    </w:p>
    <w:p>
      <w:pPr>
        <w:spacing w:line="560" w:lineRule="exact"/>
        <w:ind w:left="0" w:firstLine="649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left="0" w:firstLine="649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left="0" w:firstLine="649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left="0" w:firstLine="649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left="0" w:firstLine="649"/>
        <w:rPr>
          <w:rFonts w:ascii="Times New Roman" w:hAnsi="Times New Roman" w:eastAsia="仿宋_GB2312" w:cs="Times New Roman"/>
          <w:b/>
          <w:sz w:val="32"/>
          <w:szCs w:val="32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531" w:bottom="1984" w:left="1531" w:header="851" w:footer="155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b/>
        <w:bCs/>
        <w:sz w:val="28"/>
        <w:szCs w:val="28"/>
      </w:rPr>
    </w:pPr>
    <w:r>
      <w:rPr>
        <w:rStyle w:val="5"/>
        <w:rFonts w:hint="eastAsia" w:ascii="宋体"/>
        <w:b/>
        <w:bCs/>
        <w:sz w:val="28"/>
        <w:szCs w:val="28"/>
      </w:rPr>
      <w:fldChar w:fldCharType="begin"/>
    </w:r>
    <w:r>
      <w:rPr>
        <w:rStyle w:val="5"/>
        <w:rFonts w:hint="eastAsia" w:ascii="宋体"/>
        <w:b/>
        <w:bCs/>
        <w:sz w:val="28"/>
        <w:szCs w:val="28"/>
      </w:rPr>
      <w:instrText xml:space="preserve">Page</w:instrText>
    </w:r>
    <w:r>
      <w:rPr>
        <w:rStyle w:val="5"/>
        <w:rFonts w:hint="eastAsia" w:ascii="宋体"/>
        <w:b/>
        <w:bCs/>
        <w:sz w:val="28"/>
        <w:szCs w:val="28"/>
      </w:rPr>
      <w:fldChar w:fldCharType="separate"/>
    </w:r>
    <w:r>
      <w:rPr>
        <w:rStyle w:val="5"/>
        <w:rFonts w:hint="eastAsia" w:ascii="宋体"/>
        <w:b/>
        <w:bCs/>
        <w:sz w:val="28"/>
        <w:szCs w:val="28"/>
      </w:rPr>
      <w:t>— 1 —</w:t>
    </w:r>
    <w:r>
      <w:rPr>
        <w:rStyle w:val="5"/>
        <w:rFonts w:hint="eastAsia" w:ascii="宋体"/>
        <w:b/>
        <w:bCs/>
        <w:sz w:val="28"/>
        <w:szCs w:val="28"/>
      </w:rPr>
      <w:fldChar w:fldCharType="end"/>
    </w:r>
  </w:p>
  <w:p>
    <w:pPr>
      <w:pStyle w:val="2"/>
      <w:ind w:right="360"/>
      <w:rPr>
        <w:rFonts w:hint="eastAsia" w:ascii="宋体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— 1 —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— 1 —</w: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NmE0NDc2OGM2MTAyYzVjMjA4MWUyYTNiNGZjNGQifQ=="/>
  </w:docVars>
  <w:rsids>
    <w:rsidRoot w:val="00000000"/>
    <w:rsid w:val="0A105A09"/>
    <w:rsid w:val="197F616A"/>
    <w:rsid w:val="3AEC4906"/>
    <w:rsid w:val="53FF4DC5"/>
    <w:rsid w:val="59022CC8"/>
    <w:rsid w:val="7355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1426</Words>
  <Characters>1467</Characters>
  <Lines>0</Lines>
  <Paragraphs>0</Paragraphs>
  <TotalTime>0</TotalTime>
  <ScaleCrop>false</ScaleCrop>
  <LinksUpToDate>false</LinksUpToDate>
  <CharactersWithSpaces>1483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2023-06-25T03:46:00Z</dcterms:created>
  <dc:creator>Administrator</dc:creator>
  <cp:lastModifiedBy>曹婉茹</cp:lastModifiedBy>
  <dcterms:modified xsi:type="dcterms:W3CDTF">2023-07-10T02:17:11Z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58FA7B6770C24CA6A7417AC0D8C1E531_13</vt:lpwstr>
  </property>
</Properties>
</file>