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hAnsi="宋体" w:eastAsia="方正小标宋_GBK"/>
          <w:color w:val="auto"/>
          <w:sz w:val="44"/>
          <w:szCs w:val="44"/>
        </w:rPr>
      </w:pPr>
      <w:bookmarkStart w:id="0" w:name="OLE_LINK6"/>
      <w:bookmarkStart w:id="1" w:name="OLE_LINK1"/>
      <w:r>
        <w:rPr>
          <w:rFonts w:hint="eastAsia" w:ascii="方正小标宋_GBK" w:hAnsi="宋体" w:eastAsia="方正小标宋_GBK"/>
          <w:color w:val="auto"/>
          <w:sz w:val="44"/>
          <w:szCs w:val="44"/>
        </w:rPr>
        <w:t>交通运输部广州打捞局</w:t>
      </w:r>
    </w:p>
    <w:p>
      <w:pPr>
        <w:spacing w:line="700" w:lineRule="exact"/>
        <w:jc w:val="center"/>
        <w:rPr>
          <w:rFonts w:ascii="方正小标宋_GBK" w:hAnsi="宋体" w:eastAsia="方正小标宋_GBK"/>
          <w:color w:val="auto"/>
          <w:sz w:val="44"/>
          <w:szCs w:val="44"/>
        </w:rPr>
      </w:pPr>
      <w:r>
        <w:rPr>
          <w:rFonts w:hint="eastAsia" w:ascii="方正小标宋_GBK" w:hAnsi="宋体" w:eastAsia="方正小标宋_GBK"/>
          <w:color w:val="auto"/>
          <w:sz w:val="44"/>
          <w:szCs w:val="44"/>
        </w:rPr>
        <w:t>2023年公开招聘事业编制工作人员公告</w:t>
      </w:r>
    </w:p>
    <w:p>
      <w:pPr>
        <w:pStyle w:val="2"/>
        <w:shd w:val="clear" w:color="auto" w:fill="FFFFFF"/>
        <w:spacing w:line="460" w:lineRule="exact"/>
        <w:ind w:firstLine="591" w:firstLineChars="197"/>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经上级主管部门批准，我局拟公开招聘事业编制工作人员，现将有关事项公告如下。</w:t>
      </w:r>
    </w:p>
    <w:p>
      <w:pPr>
        <w:pStyle w:val="2"/>
        <w:numPr>
          <w:ilvl w:val="0"/>
          <w:numId w:val="1"/>
        </w:numPr>
        <w:shd w:val="clear" w:color="auto" w:fill="FFFFFF"/>
        <w:spacing w:line="460" w:lineRule="exact"/>
        <w:jc w:val="both"/>
        <w:rPr>
          <w:rFonts w:ascii="黑体" w:hAnsi="黑体" w:eastAsia="黑体" w:cs="黑体"/>
          <w:color w:val="auto"/>
          <w:sz w:val="21"/>
          <w:szCs w:val="21"/>
        </w:rPr>
      </w:pPr>
      <w:r>
        <w:rPr>
          <w:rFonts w:hint="eastAsia" w:ascii="黑体" w:hAnsi="黑体" w:eastAsia="黑体" w:cs="黑体"/>
          <w:b/>
          <w:bCs/>
          <w:color w:val="auto"/>
          <w:sz w:val="30"/>
          <w:szCs w:val="30"/>
        </w:rPr>
        <w:t>单位简介</w:t>
      </w:r>
    </w:p>
    <w:p>
      <w:pPr>
        <w:pStyle w:val="2"/>
        <w:shd w:val="clear" w:color="auto" w:fill="FFFFFF"/>
        <w:spacing w:line="460" w:lineRule="exact"/>
        <w:ind w:firstLine="588" w:firstLineChars="196"/>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我局是交通运输部</w:t>
      </w:r>
      <w:r>
        <w:rPr>
          <w:rFonts w:hint="eastAsia" w:ascii="仿宋_GB2312" w:hAnsi="仿宋_GB2312" w:eastAsia="仿宋_GB2312" w:cs="仿宋_GB2312"/>
          <w:color w:val="auto"/>
          <w:sz w:val="30"/>
          <w:szCs w:val="30"/>
          <w:lang w:eastAsia="zh-CN"/>
        </w:rPr>
        <w:t>直</w:t>
      </w:r>
      <w:r>
        <w:rPr>
          <w:rFonts w:hint="eastAsia" w:ascii="仿宋_GB2312" w:hAnsi="仿宋_GB2312" w:eastAsia="仿宋_GB2312" w:cs="仿宋_GB2312"/>
          <w:color w:val="auto"/>
          <w:sz w:val="30"/>
          <w:szCs w:val="30"/>
        </w:rPr>
        <w:t>属公益二类事业单位，是国家海上专业应急救捞队伍。主要承担国家赋予的南海海域的环境救助、财产救助、应急抢险打捞等八大职责。兼营海洋工程、拖航运输、半潜船运输、隧道工程、港航工程、水工与市政工程、船舶修造等。更多详情见我局网站：</w:t>
      </w:r>
      <w:r>
        <w:rPr>
          <w:color w:val="0070C0"/>
        </w:rPr>
        <w:fldChar w:fldCharType="begin"/>
      </w:r>
      <w:r>
        <w:rPr>
          <w:color w:val="0070C0"/>
        </w:rPr>
        <w:instrText xml:space="preserve"> HYPERLINK "http://www.gz-salvage.com.cn/" </w:instrText>
      </w:r>
      <w:r>
        <w:rPr>
          <w:color w:val="0070C0"/>
        </w:rPr>
        <w:fldChar w:fldCharType="separate"/>
      </w:r>
      <w:r>
        <w:rPr>
          <w:rStyle w:val="6"/>
          <w:rFonts w:hint="eastAsia" w:ascii="仿宋_GB2312" w:hAnsi="仿宋_GB2312" w:eastAsia="仿宋_GB2312" w:cs="仿宋_GB2312"/>
          <w:color w:val="0070C0"/>
          <w:sz w:val="30"/>
          <w:szCs w:val="30"/>
        </w:rPr>
        <w:t>http://www.gz-salvage.com.cn/</w:t>
      </w:r>
      <w:r>
        <w:rPr>
          <w:rStyle w:val="7"/>
          <w:rFonts w:hint="eastAsia" w:ascii="仿宋_GB2312" w:hAnsi="仿宋_GB2312" w:eastAsia="仿宋_GB2312" w:cs="仿宋_GB2312"/>
          <w:color w:val="0070C0"/>
          <w:sz w:val="30"/>
          <w:szCs w:val="30"/>
        </w:rPr>
        <w:fldChar w:fldCharType="end"/>
      </w:r>
      <w:r>
        <w:rPr>
          <w:rFonts w:hint="eastAsia" w:ascii="仿宋_GB2312" w:hAnsi="仿宋_GB2312" w:eastAsia="仿宋_GB2312" w:cs="仿宋_GB2312"/>
          <w:color w:val="0070C0"/>
          <w:sz w:val="30"/>
          <w:szCs w:val="30"/>
        </w:rPr>
        <w:t>。</w:t>
      </w:r>
    </w:p>
    <w:p>
      <w:pPr>
        <w:pStyle w:val="2"/>
        <w:numPr>
          <w:ilvl w:val="0"/>
          <w:numId w:val="1"/>
        </w:numPr>
        <w:shd w:val="clear" w:color="auto" w:fill="FFFFFF"/>
        <w:spacing w:line="460" w:lineRule="exact"/>
        <w:jc w:val="both"/>
        <w:rPr>
          <w:rFonts w:ascii="黑体" w:hAnsi="黑体" w:eastAsia="黑体" w:cs="黑体"/>
          <w:b/>
          <w:bCs/>
          <w:color w:val="auto"/>
          <w:sz w:val="30"/>
          <w:szCs w:val="30"/>
        </w:rPr>
      </w:pPr>
      <w:r>
        <w:rPr>
          <w:rFonts w:hint="eastAsia" w:ascii="黑体" w:hAnsi="黑体" w:eastAsia="黑体" w:cs="黑体"/>
          <w:b/>
          <w:bCs/>
          <w:color w:val="auto"/>
          <w:sz w:val="30"/>
          <w:szCs w:val="30"/>
        </w:rPr>
        <w:t>招聘岗位、资格要求及招聘人数</w:t>
      </w:r>
    </w:p>
    <w:p>
      <w:pPr>
        <w:pStyle w:val="2"/>
        <w:shd w:val="clear" w:color="auto" w:fill="FFFFFF"/>
        <w:spacing w:line="460" w:lineRule="exact"/>
        <w:jc w:val="center"/>
        <w:rPr>
          <w:rFonts w:ascii="仿宋_GB2312" w:hAnsi="仿宋_GB2312" w:eastAsia="仿宋_GB2312" w:cs="仿宋_GB2312"/>
          <w:b/>
          <w:bCs/>
          <w:color w:val="auto"/>
          <w:sz w:val="30"/>
          <w:szCs w:val="30"/>
        </w:rPr>
      </w:pPr>
      <w:r>
        <w:rPr>
          <w:rFonts w:hint="eastAsia" w:ascii="仿宋_GB2312" w:hAnsi="仿宋_GB2312" w:eastAsia="仿宋_GB2312" w:cs="仿宋_GB2312"/>
          <w:color w:val="auto"/>
          <w:sz w:val="30"/>
          <w:szCs w:val="30"/>
        </w:rPr>
        <w:t>2023年度公开招聘高校应届毕业生及留学回国人员岗位表</w:t>
      </w:r>
    </w:p>
    <w:tbl>
      <w:tblPr>
        <w:tblStyle w:val="3"/>
        <w:tblW w:w="8662" w:type="dxa"/>
        <w:tblInd w:w="93" w:type="dxa"/>
        <w:tblLayout w:type="autofit"/>
        <w:tblCellMar>
          <w:top w:w="0" w:type="dxa"/>
          <w:left w:w="108" w:type="dxa"/>
          <w:bottom w:w="0" w:type="dxa"/>
          <w:right w:w="108" w:type="dxa"/>
        </w:tblCellMar>
      </w:tblPr>
      <w:tblGrid>
        <w:gridCol w:w="724"/>
        <w:gridCol w:w="851"/>
        <w:gridCol w:w="992"/>
        <w:gridCol w:w="3260"/>
        <w:gridCol w:w="1134"/>
        <w:gridCol w:w="709"/>
        <w:gridCol w:w="992"/>
      </w:tblGrid>
      <w:tr>
        <w:tblPrEx>
          <w:tblCellMar>
            <w:top w:w="0" w:type="dxa"/>
            <w:left w:w="108" w:type="dxa"/>
            <w:bottom w:w="0" w:type="dxa"/>
            <w:right w:w="108" w:type="dxa"/>
          </w:tblCellMar>
        </w:tblPrEx>
        <w:trPr>
          <w:trHeight w:val="42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招聘计划类别</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招聘工作单位</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招聘   岗位</w:t>
            </w:r>
          </w:p>
        </w:tc>
        <w:tc>
          <w:tcPr>
            <w:tcW w:w="439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资格条件要求</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招聘人数</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招聘   要求</w:t>
            </w:r>
          </w:p>
        </w:tc>
      </w:tr>
      <w:tr>
        <w:tblPrEx>
          <w:tblCellMar>
            <w:top w:w="0" w:type="dxa"/>
            <w:left w:w="108" w:type="dxa"/>
            <w:bottom w:w="0" w:type="dxa"/>
            <w:right w:w="108" w:type="dxa"/>
          </w:tblCellMar>
        </w:tblPrEx>
        <w:trPr>
          <w:trHeight w:val="600" w:hRule="atLeast"/>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auto"/>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center"/>
              <w:rPr>
                <w:rFonts w:ascii="仿宋_GB2312" w:hAnsi="宋体" w:eastAsia="仿宋_GB2312" w:cs="宋体"/>
                <w:b/>
                <w:bCs/>
                <w:color w:val="auto"/>
                <w:kern w:val="0"/>
                <w:sz w:val="24"/>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专业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学历/</w:t>
            </w:r>
          </w:p>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学位</w:t>
            </w: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4"/>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color w:val="auto"/>
                <w:kern w:val="0"/>
                <w:sz w:val="24"/>
              </w:rPr>
            </w:pPr>
          </w:p>
        </w:tc>
      </w:tr>
      <w:tr>
        <w:tblPrEx>
          <w:tblCellMar>
            <w:top w:w="0" w:type="dxa"/>
            <w:left w:w="108" w:type="dxa"/>
            <w:bottom w:w="0" w:type="dxa"/>
            <w:right w:w="108" w:type="dxa"/>
          </w:tblCellMar>
        </w:tblPrEx>
        <w:trPr>
          <w:trHeight w:val="454"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r>
              <w:rPr>
                <w:rFonts w:hint="eastAsia" w:ascii="仿宋_GB2312" w:hAnsi="宋体" w:eastAsia="仿宋_GB2312" w:cs="宋体"/>
                <w:b/>
                <w:bCs/>
                <w:color w:val="auto"/>
                <w:kern w:val="0"/>
                <w:sz w:val="24"/>
              </w:rPr>
              <w:t>高校毕业生接收计划</w:t>
            </w:r>
          </w:p>
          <w:p>
            <w:pPr>
              <w:widowControl/>
              <w:spacing w:line="30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救捞工程船队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工程技术人员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船舶与海洋工程、结构工程、土木工程、测绘工程、工程力学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6</w:t>
            </w:r>
          </w:p>
        </w:tc>
        <w:tc>
          <w:tcPr>
            <w:tcW w:w="992" w:type="dxa"/>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5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工程管理人员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港口航道与海岸工程、结构力学、岩土工程、工程管理、船舶工程技术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5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救捞拖轮船队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spacing w:val="-20"/>
                <w:kern w:val="0"/>
                <w:sz w:val="20"/>
                <w:szCs w:val="20"/>
              </w:rPr>
              <w:t>工程技术人员1</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船舶与海洋工程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硕士研究生</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CET6</w:t>
            </w:r>
          </w:p>
        </w:tc>
      </w:tr>
      <w:tr>
        <w:tblPrEx>
          <w:tblCellMar>
            <w:top w:w="0" w:type="dxa"/>
            <w:left w:w="108" w:type="dxa"/>
            <w:bottom w:w="0" w:type="dxa"/>
            <w:right w:w="108" w:type="dxa"/>
          </w:tblCellMar>
        </w:tblPrEx>
        <w:trPr>
          <w:trHeight w:val="33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spacing w:val="-20"/>
                <w:kern w:val="0"/>
                <w:sz w:val="20"/>
                <w:szCs w:val="20"/>
              </w:rPr>
              <w:t>工程技术人员2</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船舶与海洋工程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33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海洋工程中心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工程技术人员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船舶与海洋工程、港口航道与海岸工程、水利水电工程、工程力学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CET6</w:t>
            </w:r>
          </w:p>
        </w:tc>
      </w:tr>
      <w:tr>
        <w:tblPrEx>
          <w:tblCellMar>
            <w:top w:w="0" w:type="dxa"/>
            <w:left w:w="108" w:type="dxa"/>
            <w:bottom w:w="0" w:type="dxa"/>
            <w:right w:w="108" w:type="dxa"/>
          </w:tblCellMar>
        </w:tblPrEx>
        <w:trPr>
          <w:trHeight w:val="51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商务管理人员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法学（海商法）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CET4、    国考合格</w:t>
            </w:r>
          </w:p>
        </w:tc>
      </w:tr>
      <w:tr>
        <w:tblPrEx>
          <w:tblCellMar>
            <w:top w:w="0" w:type="dxa"/>
            <w:left w:w="108" w:type="dxa"/>
            <w:bottom w:w="0" w:type="dxa"/>
            <w:right w:w="108" w:type="dxa"/>
          </w:tblCellMar>
        </w:tblPrEx>
        <w:trPr>
          <w:trHeight w:val="51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船舶修造中心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spacing w:val="-20"/>
                <w:kern w:val="0"/>
                <w:sz w:val="20"/>
                <w:szCs w:val="20"/>
              </w:rPr>
              <w:t>工程技术人员1</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船舶与海洋工程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CET6</w:t>
            </w:r>
          </w:p>
        </w:tc>
      </w:tr>
      <w:tr>
        <w:tblPrEx>
          <w:tblCellMar>
            <w:top w:w="0" w:type="dxa"/>
            <w:left w:w="108" w:type="dxa"/>
            <w:bottom w:w="0" w:type="dxa"/>
            <w:right w:w="108" w:type="dxa"/>
          </w:tblCellMar>
        </w:tblPrEx>
        <w:trPr>
          <w:trHeight w:val="51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spacing w:val="-20"/>
                <w:kern w:val="0"/>
                <w:sz w:val="20"/>
                <w:szCs w:val="20"/>
              </w:rPr>
              <w:t>工程技术人员2</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电气工程及其自动化、电气工程与智能控制、船舶电子电气工程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51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spacing w:val="-20"/>
                <w:kern w:val="0"/>
                <w:sz w:val="20"/>
                <w:szCs w:val="20"/>
              </w:rPr>
              <w:t>商务管理</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法学（海商法）</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auto"/>
                <w:sz w:val="20"/>
                <w:szCs w:val="20"/>
              </w:rPr>
            </w:pPr>
            <w:r>
              <w:rPr>
                <w:rFonts w:hint="eastAsia" w:ascii="仿宋_GB2312" w:hAnsi="仿宋_GB2312" w:eastAsia="仿宋_GB2312" w:cs="仿宋_GB2312"/>
                <w:color w:val="auto"/>
                <w:sz w:val="20"/>
                <w:szCs w:val="20"/>
              </w:rPr>
              <w:t>CET6、</w:t>
            </w:r>
          </w:p>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国考合格</w:t>
            </w:r>
          </w:p>
        </w:tc>
      </w:tr>
      <w:tr>
        <w:tblPrEx>
          <w:tblCellMar>
            <w:top w:w="0" w:type="dxa"/>
            <w:left w:w="108" w:type="dxa"/>
            <w:bottom w:w="0" w:type="dxa"/>
            <w:right w:w="108" w:type="dxa"/>
          </w:tblCellMar>
        </w:tblPrEx>
        <w:trPr>
          <w:trHeight w:val="51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港航工程中心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spacing w:val="-20"/>
                <w:kern w:val="0"/>
                <w:sz w:val="20"/>
                <w:szCs w:val="20"/>
              </w:rPr>
              <w:t>工程技术人员1</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港口航道与海岸工程、市政工程专业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硕士研究生及以上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551"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spacing w:val="-20"/>
                <w:kern w:val="0"/>
                <w:sz w:val="20"/>
                <w:szCs w:val="20"/>
              </w:rPr>
              <w:t>工程技术人员2</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海洋科学类、海洋地质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363"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综合管理人员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新闻与传播、汉语言文学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硕士研究生及以上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CET4、    国考合格</w:t>
            </w:r>
          </w:p>
        </w:tc>
      </w:tr>
      <w:tr>
        <w:tblPrEx>
          <w:tblCellMar>
            <w:top w:w="0" w:type="dxa"/>
            <w:left w:w="108" w:type="dxa"/>
            <w:bottom w:w="0" w:type="dxa"/>
            <w:right w:w="108" w:type="dxa"/>
          </w:tblCellMar>
        </w:tblPrEx>
        <w:trPr>
          <w:trHeight w:val="30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广州潜水学校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rPr>
            </w:pPr>
            <w:r>
              <w:rPr>
                <w:rFonts w:hint="eastAsia" w:ascii="仿宋_GB2312" w:hAnsi="仿宋_GB2312" w:eastAsia="仿宋_GB2312" w:cs="仿宋_GB2312"/>
                <w:color w:val="auto"/>
                <w:kern w:val="0"/>
                <w:sz w:val="20"/>
                <w:szCs w:val="20"/>
              </w:rPr>
              <w:t>潜水医生</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临床医学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418"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打捞业务开发中心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rPr>
            </w:pPr>
            <w:r>
              <w:rPr>
                <w:rFonts w:hint="eastAsia" w:ascii="仿宋_GB2312" w:hAnsi="仿宋_GB2312" w:eastAsia="仿宋_GB2312" w:cs="仿宋_GB2312"/>
                <w:color w:val="auto"/>
                <w:kern w:val="0"/>
                <w:sz w:val="20"/>
                <w:szCs w:val="20"/>
              </w:rPr>
              <w:t>工程技术人员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港口航道与海岸工程、水利水电工程、市政工程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sz w:val="20"/>
                <w:szCs w:val="20"/>
              </w:rPr>
              <w:t>CET4</w:t>
            </w:r>
          </w:p>
        </w:tc>
      </w:tr>
      <w:tr>
        <w:tblPrEx>
          <w:tblCellMar>
            <w:top w:w="0" w:type="dxa"/>
            <w:left w:w="108" w:type="dxa"/>
            <w:bottom w:w="0" w:type="dxa"/>
            <w:right w:w="108" w:type="dxa"/>
          </w:tblCellMar>
        </w:tblPrEx>
        <w:trPr>
          <w:trHeight w:val="33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打捞技术开发中心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auto"/>
              </w:rPr>
            </w:pPr>
            <w:r>
              <w:rPr>
                <w:rFonts w:hint="eastAsia" w:ascii="仿宋_GB2312" w:hAnsi="仿宋_GB2312" w:eastAsia="仿宋_GB2312" w:cs="仿宋_GB2312"/>
                <w:color w:val="auto"/>
                <w:kern w:val="0"/>
                <w:sz w:val="20"/>
                <w:szCs w:val="20"/>
              </w:rPr>
              <w:t>工程技术人员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船舶与海洋工程、救助与打捞工程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sz w:val="20"/>
                <w:szCs w:val="20"/>
              </w:rPr>
              <w:t xml:space="preserve">CET4 </w:t>
            </w:r>
          </w:p>
        </w:tc>
      </w:tr>
      <w:tr>
        <w:tblPrEx>
          <w:tblCellMar>
            <w:top w:w="0" w:type="dxa"/>
            <w:left w:w="108" w:type="dxa"/>
            <w:bottom w:w="0" w:type="dxa"/>
            <w:right w:w="108" w:type="dxa"/>
          </w:tblCellMar>
        </w:tblPrEx>
        <w:trPr>
          <w:trHeight w:val="454"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救捞拖轮船队</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航海技术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31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航海技术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专科及以上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轮机工程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sz w:val="20"/>
                <w:szCs w:val="20"/>
              </w:rPr>
            </w:pPr>
            <w:r>
              <w:rPr>
                <w:rFonts w:hint="eastAsia" w:ascii="仿宋_GB2312" w:hAnsi="仿宋_GB2312" w:eastAsia="仿宋_GB2312" w:cs="仿宋_GB2312"/>
                <w:color w:val="auto"/>
                <w:kern w:val="0"/>
                <w:sz w:val="20"/>
                <w:szCs w:val="20"/>
              </w:rPr>
              <w:t>16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轮机工程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专科及以上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0"/>
                <w:szCs w:val="20"/>
              </w:rPr>
            </w:pPr>
          </w:p>
        </w:tc>
      </w:tr>
      <w:tr>
        <w:tblPrEx>
          <w:tblCellMar>
            <w:top w:w="0" w:type="dxa"/>
            <w:left w:w="108" w:type="dxa"/>
            <w:bottom w:w="0" w:type="dxa"/>
            <w:right w:w="108" w:type="dxa"/>
          </w:tblCellMar>
        </w:tblPrEx>
        <w:trPr>
          <w:trHeight w:val="46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船舶电子电气工程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color w:val="auto"/>
                <w:sz w:val="20"/>
                <w:szCs w:val="20"/>
              </w:rPr>
            </w:pPr>
          </w:p>
        </w:tc>
      </w:tr>
      <w:tr>
        <w:tblPrEx>
          <w:tblCellMar>
            <w:top w:w="0" w:type="dxa"/>
            <w:left w:w="108" w:type="dxa"/>
            <w:bottom w:w="0" w:type="dxa"/>
            <w:right w:w="108" w:type="dxa"/>
          </w:tblCellMar>
        </w:tblPrEx>
        <w:trPr>
          <w:trHeight w:val="513"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船舶电子电气工程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专科及以上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救捞工程船队</w:t>
            </w:r>
          </w:p>
        </w:tc>
        <w:tc>
          <w:tcPr>
            <w:tcW w:w="99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航海技术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专科及以上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轮机工程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专科及以上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船舶电子电气工程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专科及以上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海洋工程中心</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航海技术</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轮机工程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285"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0"/>
                <w:szCs w:val="20"/>
              </w:rPr>
            </w:pP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船舶电子电气工程</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本科</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42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救捞工程船队</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工程潜水员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工程潜水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中专及以上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p>
        </w:tc>
      </w:tr>
      <w:tr>
        <w:tblPrEx>
          <w:tblCellMar>
            <w:top w:w="0" w:type="dxa"/>
            <w:left w:w="108" w:type="dxa"/>
            <w:bottom w:w="0" w:type="dxa"/>
            <w:right w:w="108" w:type="dxa"/>
          </w:tblCellMar>
        </w:tblPrEx>
        <w:trPr>
          <w:trHeight w:val="9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仿宋_GB2312" w:hAnsi="宋体" w:eastAsia="仿宋_GB2312" w:cs="宋体"/>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海洋工程中心</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工程潜水员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工程潜水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中专及以上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7</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cs="宋体"/>
                <w:b/>
                <w:bCs/>
                <w:color w:val="auto"/>
                <w:kern w:val="0"/>
                <w:sz w:val="24"/>
              </w:rPr>
            </w:pPr>
          </w:p>
        </w:tc>
        <w:tc>
          <w:tcPr>
            <w:tcW w:w="6237" w:type="dxa"/>
            <w:gridSpan w:val="4"/>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宋体" w:eastAsia="仿宋_GB2312" w:cs="宋体"/>
                <w:b/>
                <w:bCs/>
                <w:color w:val="auto"/>
                <w:kern w:val="0"/>
                <w:sz w:val="20"/>
                <w:szCs w:val="20"/>
              </w:rPr>
            </w:pPr>
            <w:r>
              <w:rPr>
                <w:rFonts w:hint="eastAsia" w:ascii="仿宋_GB2312" w:hAnsi="仿宋_GB2312" w:eastAsia="仿宋_GB2312" w:cs="仿宋_GB2312"/>
                <w:b/>
                <w:bCs/>
                <w:color w:val="auto"/>
                <w:kern w:val="0"/>
                <w:sz w:val="20"/>
                <w:szCs w:val="20"/>
              </w:rPr>
              <w:t>小计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b/>
                <w:bCs/>
                <w:color w:val="auto"/>
                <w:kern w:val="0"/>
                <w:sz w:val="22"/>
                <w:szCs w:val="22"/>
              </w:rPr>
            </w:pPr>
            <w:r>
              <w:rPr>
                <w:rFonts w:hint="eastAsia" w:ascii="仿宋_GB2312" w:hAnsi="仿宋_GB2312" w:eastAsia="仿宋_GB2312" w:cs="仿宋_GB2312"/>
                <w:b/>
                <w:bCs/>
                <w:color w:val="auto"/>
                <w:kern w:val="0"/>
                <w:sz w:val="20"/>
                <w:szCs w:val="20"/>
              </w:rPr>
              <w:t>99</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kern w:val="0"/>
                <w:sz w:val="22"/>
                <w:szCs w:val="22"/>
              </w:rPr>
            </w:pPr>
          </w:p>
        </w:tc>
      </w:tr>
      <w:tr>
        <w:tblPrEx>
          <w:tblCellMar>
            <w:top w:w="0" w:type="dxa"/>
            <w:left w:w="108" w:type="dxa"/>
            <w:bottom w:w="0" w:type="dxa"/>
            <w:right w:w="108" w:type="dxa"/>
          </w:tblCellMar>
        </w:tblPrEx>
        <w:trPr>
          <w:trHeight w:val="28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仿宋_GB2312" w:hAnsi="宋体" w:eastAsia="仿宋_GB2312" w:cs="宋体"/>
                <w:b/>
                <w:bCs/>
                <w:color w:val="auto"/>
                <w:kern w:val="0"/>
                <w:sz w:val="24"/>
              </w:rPr>
            </w:pPr>
            <w:r>
              <w:rPr>
                <w:rFonts w:hint="eastAsia" w:ascii="仿宋_GB2312" w:eastAsia="仿宋_GB2312"/>
                <w:b/>
                <w:bCs/>
                <w:color w:val="auto"/>
                <w:sz w:val="20"/>
                <w:szCs w:val="20"/>
              </w:rPr>
              <w:t>归国留学人员接收计划</w:t>
            </w:r>
          </w:p>
        </w:tc>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港航工程中心</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工程设计人员</w:t>
            </w:r>
          </w:p>
        </w:tc>
        <w:tc>
          <w:tcPr>
            <w:tcW w:w="3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建筑学</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0"/>
                <w:szCs w:val="20"/>
              </w:rPr>
            </w:pPr>
            <w:r>
              <w:rPr>
                <w:rFonts w:hint="eastAsia" w:ascii="仿宋_GB2312" w:hAnsi="仿宋_GB2312" w:eastAsia="仿宋_GB2312" w:cs="仿宋_GB2312"/>
                <w:color w:val="auto"/>
                <w:kern w:val="0"/>
                <w:sz w:val="20"/>
                <w:szCs w:val="20"/>
              </w:rPr>
              <w:t>硕士研究生及以上</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_GB2312" w:hAnsi="宋体" w:eastAsia="仿宋_GB2312" w:cs="宋体"/>
                <w:color w:val="auto"/>
                <w:kern w:val="0"/>
                <w:sz w:val="22"/>
                <w:szCs w:val="22"/>
              </w:rPr>
            </w:pPr>
            <w:r>
              <w:rPr>
                <w:rFonts w:hint="eastAsia" w:ascii="仿宋_GB2312" w:hAnsi="仿宋_GB2312" w:eastAsia="仿宋_GB2312" w:cs="仿宋_GB2312"/>
                <w:color w:val="auto"/>
                <w:kern w:val="0"/>
                <w:sz w:val="20"/>
                <w:szCs w:val="20"/>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宋体"/>
                <w:color w:val="auto"/>
                <w:sz w:val="20"/>
                <w:szCs w:val="20"/>
              </w:rPr>
            </w:pPr>
            <w:r>
              <w:rPr>
                <w:rFonts w:hint="eastAsia" w:ascii="仿宋_GB2312" w:hAnsi="仿宋_GB2312" w:eastAsia="仿宋_GB2312" w:cs="仿宋_GB2312"/>
                <w:color w:val="auto"/>
                <w:sz w:val="20"/>
                <w:szCs w:val="20"/>
              </w:rPr>
              <w:t>仅面向留学回国人员</w:t>
            </w:r>
          </w:p>
        </w:tc>
      </w:tr>
      <w:tr>
        <w:tblPrEx>
          <w:tblCellMar>
            <w:top w:w="0" w:type="dxa"/>
            <w:left w:w="108" w:type="dxa"/>
            <w:bottom w:w="0" w:type="dxa"/>
            <w:right w:w="108" w:type="dxa"/>
          </w:tblCellMar>
        </w:tblPrEx>
        <w:trPr>
          <w:trHeight w:val="285" w:hRule="atLeast"/>
        </w:trPr>
        <w:tc>
          <w:tcPr>
            <w:tcW w:w="696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20"/>
                <w:szCs w:val="20"/>
              </w:rPr>
            </w:pPr>
            <w:r>
              <w:rPr>
                <w:rFonts w:hint="eastAsia" w:ascii="仿宋_GB2312" w:hAnsi="宋体" w:eastAsia="仿宋_GB2312" w:cs="宋体"/>
                <w:b/>
                <w:bCs/>
                <w:color w:val="auto"/>
                <w:kern w:val="0"/>
                <w:sz w:val="24"/>
              </w:rPr>
              <w:t>合计</w:t>
            </w:r>
          </w:p>
        </w:tc>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color w:val="auto"/>
                <w:kern w:val="0"/>
                <w:sz w:val="22"/>
                <w:szCs w:val="22"/>
              </w:rPr>
            </w:pPr>
            <w:r>
              <w:rPr>
                <w:rFonts w:hint="eastAsia" w:ascii="仿宋_GB2312" w:hAnsi="宋体" w:eastAsia="仿宋_GB2312" w:cs="宋体"/>
                <w:b/>
                <w:color w:val="auto"/>
                <w:kern w:val="0"/>
                <w:sz w:val="24"/>
              </w:rPr>
              <w:t>100</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auto"/>
                <w:kern w:val="0"/>
                <w:sz w:val="22"/>
                <w:szCs w:val="22"/>
              </w:rPr>
            </w:pPr>
          </w:p>
        </w:tc>
      </w:tr>
    </w:tbl>
    <w:p>
      <w:pPr>
        <w:pStyle w:val="2"/>
        <w:shd w:val="clear" w:color="auto" w:fill="FFFFFF"/>
        <w:spacing w:line="460" w:lineRule="exact"/>
        <w:ind w:firstLine="593"/>
        <w:jc w:val="both"/>
        <w:rPr>
          <w:rFonts w:ascii="黑体" w:hAnsi="黑体" w:eastAsia="黑体" w:cs="黑体"/>
          <w:color w:val="auto"/>
          <w:sz w:val="21"/>
          <w:szCs w:val="21"/>
        </w:rPr>
      </w:pPr>
      <w:r>
        <w:rPr>
          <w:rFonts w:hint="eastAsia" w:ascii="黑体" w:hAnsi="黑体" w:eastAsia="黑体" w:cs="黑体"/>
          <w:b/>
          <w:bCs/>
          <w:color w:val="auto"/>
          <w:sz w:val="30"/>
          <w:szCs w:val="30"/>
        </w:rPr>
        <w:t>三、报名基本条件</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应聘人员应具备以下基本条件：</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（一）具有中华人民共和国国籍，拥护中国共产党，拥护社会主义制度。</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（二）遵纪守法，诚实守信，品行端正，敬业爱岗，具有良好的职业道德和较强的事业心、责任感。</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（三）身体健康，具有正常履行岗位职责的身体条件。</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（四）符合招聘岗位要求的专业学历/学位及相关招聘要求。</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五）应聘高校毕业生接收计划的应为2023年应届毕业生，并如期取得毕业证书。其中，应聘陆地管理岗位的（不含船员、潜水员和工程技术人员等救捞一线特殊岗位），应取得2023年度国家公务员考试笔试合格成绩。</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（六）应聘留学回国人员计划的，需在国（境）外实际学习满2年，并满足岗位要求的国（境）外学历（或学位）要求（提供我国教育部门学历学位认证书），毕业不超过2年（以毕业证或学位证确定时间为准）。</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（七）年龄要求：本科学历不超过26周岁（1997年1月1日以后出生），硕士研究生学历不超过30周岁 ，博士研究生不超过35周岁。</w:t>
      </w:r>
    </w:p>
    <w:p>
      <w:pPr>
        <w:spacing w:line="460" w:lineRule="exact"/>
        <w:ind w:firstLine="591" w:firstLineChars="197"/>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（八）有以下情形的，不得参加应聘：</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xml:space="preserve">    尚未解除纪律处分或者正在接受纪律审查的人员；涉嫌违法犯罪正在接受调查的人员；国家或地方另有规定不得应聘到部属事业有关岗位的人员。</w:t>
      </w:r>
    </w:p>
    <w:p>
      <w:pPr>
        <w:pStyle w:val="2"/>
        <w:shd w:val="clear" w:color="auto" w:fill="FFFFFF"/>
        <w:spacing w:line="460" w:lineRule="exact"/>
        <w:ind w:left="605"/>
        <w:jc w:val="both"/>
        <w:rPr>
          <w:rFonts w:ascii="黑体" w:hAnsi="黑体" w:eastAsia="黑体" w:cs="黑体"/>
          <w:color w:val="auto"/>
          <w:sz w:val="21"/>
          <w:szCs w:val="21"/>
        </w:rPr>
      </w:pPr>
      <w:r>
        <w:rPr>
          <w:rFonts w:hint="eastAsia" w:ascii="黑体" w:hAnsi="黑体" w:eastAsia="黑体" w:cs="黑体"/>
          <w:b/>
          <w:bCs/>
          <w:color w:val="auto"/>
          <w:sz w:val="30"/>
          <w:szCs w:val="30"/>
        </w:rPr>
        <w:t>四、报名方式、时间及联系方式</w:t>
      </w:r>
    </w:p>
    <w:p>
      <w:pPr>
        <w:pStyle w:val="2"/>
        <w:shd w:val="clear" w:color="auto" w:fill="FFFFFF"/>
        <w:spacing w:line="460" w:lineRule="exact"/>
        <w:ind w:firstLine="600"/>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报名人员填写《交通运输部广州打捞局2023年公开招聘事业编制工作人员报名表》（详见附件），连同本人简历及有关证明材料（学历及学位证书、在校成绩单、公务员考试成绩</w:t>
      </w:r>
      <w:r>
        <w:rPr>
          <w:rFonts w:hint="eastAsia" w:ascii="仿宋_GB2312" w:hAnsi="仿宋_GB2312" w:eastAsia="仿宋_GB2312" w:cs="仿宋_GB2312"/>
          <w:color w:val="auto"/>
          <w:sz w:val="30"/>
          <w:szCs w:val="30"/>
          <w:lang w:eastAsia="zh-CN"/>
        </w:rPr>
        <w:t>（部分岗位）</w:t>
      </w:r>
      <w:r>
        <w:rPr>
          <w:rFonts w:hint="eastAsia" w:ascii="仿宋_GB2312" w:hAnsi="仿宋_GB2312" w:eastAsia="仿宋_GB2312" w:cs="仿宋_GB2312"/>
          <w:color w:val="auto"/>
          <w:sz w:val="30"/>
          <w:szCs w:val="30"/>
        </w:rPr>
        <w:t>、获奖证书、CET证书等）</w:t>
      </w:r>
      <w:r>
        <w:rPr>
          <w:color w:val="auto"/>
        </w:rPr>
        <w:fldChar w:fldCharType="begin"/>
      </w:r>
      <w:r>
        <w:rPr>
          <w:color w:val="auto"/>
        </w:rPr>
        <w:instrText xml:space="preserve"> HYPERLINK "mailto:以电子邮件方式发送至报名邮箱rczp@gzsalvage.cn" </w:instrText>
      </w:r>
      <w:r>
        <w:rPr>
          <w:color w:val="auto"/>
        </w:rPr>
        <w:fldChar w:fldCharType="separate"/>
      </w:r>
      <w:r>
        <w:rPr>
          <w:rStyle w:val="7"/>
          <w:rFonts w:hint="eastAsia" w:ascii="仿宋_GB2312" w:hAnsi="仿宋_GB2312" w:eastAsia="仿宋_GB2312" w:cs="仿宋_GB2312"/>
          <w:color w:val="auto"/>
          <w:sz w:val="30"/>
          <w:szCs w:val="30"/>
        </w:rPr>
        <w:t>以电子邮件方式发送至报名邮箱</w:t>
      </w:r>
      <w:r>
        <w:rPr>
          <w:rStyle w:val="7"/>
          <w:rFonts w:hint="eastAsia" w:ascii="仿宋_GB2312" w:hAnsi="仿宋_GB2312" w:eastAsia="仿宋_GB2312" w:cs="仿宋_GB2312"/>
          <w:color w:val="0070C0"/>
          <w:sz w:val="30"/>
          <w:szCs w:val="30"/>
        </w:rPr>
        <w:t>rczp@gzsalvage.cn</w:t>
      </w:r>
      <w:r>
        <w:rPr>
          <w:rStyle w:val="7"/>
          <w:rFonts w:hint="eastAsia" w:ascii="仿宋_GB2312" w:hAnsi="仿宋_GB2312" w:eastAsia="仿宋_GB2312" w:cs="仿宋_GB2312"/>
          <w:color w:val="auto"/>
          <w:sz w:val="30"/>
          <w:szCs w:val="30"/>
        </w:rPr>
        <w:fldChar w:fldCharType="end"/>
      </w:r>
      <w:r>
        <w:rPr>
          <w:rFonts w:hint="eastAsia" w:ascii="仿宋_GB2312" w:hAnsi="仿宋_GB2312" w:eastAsia="仿宋_GB2312" w:cs="仿宋_GB2312"/>
          <w:color w:val="auto"/>
          <w:sz w:val="30"/>
          <w:szCs w:val="30"/>
        </w:rPr>
        <w:t>。</w:t>
      </w:r>
    </w:p>
    <w:p>
      <w:pPr>
        <w:pStyle w:val="2"/>
        <w:shd w:val="clear" w:color="auto" w:fill="FFFFFF"/>
        <w:spacing w:line="460" w:lineRule="exact"/>
        <w:ind w:firstLine="60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报名截止时间：2023年3月31日。</w:t>
      </w:r>
    </w:p>
    <w:p>
      <w:pPr>
        <w:pStyle w:val="2"/>
        <w:shd w:val="clear" w:color="auto" w:fill="FFFFFF"/>
        <w:spacing w:line="460" w:lineRule="exact"/>
        <w:ind w:firstLine="591"/>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联 系 人：林先生、阮先生。</w:t>
      </w:r>
    </w:p>
    <w:p>
      <w:pPr>
        <w:pStyle w:val="2"/>
        <w:shd w:val="clear" w:color="auto" w:fill="FFFFFF"/>
        <w:spacing w:line="460" w:lineRule="exact"/>
        <w:ind w:firstLine="591"/>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联系电话：020-34062355、34062184。</w:t>
      </w:r>
    </w:p>
    <w:p>
      <w:pPr>
        <w:pStyle w:val="2"/>
        <w:shd w:val="clear" w:color="auto" w:fill="FFFFFF"/>
        <w:spacing w:line="460" w:lineRule="exact"/>
        <w:ind w:firstLine="591"/>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单位地址：广州市海珠区南洲路2356号大院1号。</w:t>
      </w:r>
    </w:p>
    <w:p>
      <w:pPr>
        <w:pStyle w:val="2"/>
        <w:shd w:val="clear" w:color="auto" w:fill="FFFFFF"/>
        <w:spacing w:line="460" w:lineRule="exact"/>
        <w:ind w:firstLine="593"/>
        <w:jc w:val="both"/>
        <w:rPr>
          <w:rFonts w:ascii="黑体" w:hAnsi="黑体" w:eastAsia="黑体" w:cs="黑体"/>
          <w:color w:val="auto"/>
          <w:sz w:val="21"/>
          <w:szCs w:val="21"/>
        </w:rPr>
      </w:pPr>
      <w:r>
        <w:rPr>
          <w:rFonts w:hint="eastAsia" w:ascii="黑体" w:hAnsi="黑体" w:eastAsia="黑体" w:cs="黑体"/>
          <w:b/>
          <w:bCs/>
          <w:color w:val="auto"/>
          <w:sz w:val="30"/>
          <w:szCs w:val="30"/>
        </w:rPr>
        <w:t>五、招聘程序</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按上级主管部门及我局的有关规定实施。</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（一）递交简历及相关材料。</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（二）资格审核。根据招聘岗位资格条件及有关要求等，对应聘人员进行资格审查。经资格审查入围人员将通过电话、短信或邮件形式通知其参加笔试，未入围者不再另行通知。</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（三）考试。分笔试和面试，考试时间拟定于2023年4月（具体时间地点另行通知）。以笔试成绩由高至低排序，按招聘岗位人数不超过1:3的比例确定进入面试人选，不足1:3比例的岗位按照实际人数确定。</w:t>
      </w:r>
    </w:p>
    <w:p>
      <w:pPr>
        <w:pStyle w:val="2"/>
        <w:shd w:val="clear" w:color="auto" w:fill="FFFFFF"/>
        <w:spacing w:line="460" w:lineRule="exact"/>
        <w:ind w:left="596" w:leftChars="284" w:firstLine="240" w:firstLineChars="8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考试成绩=笔试成绩×40％＋面试成绩×60％.</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（四）体检和聘用审核。</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在考试成绩60分以上的应聘人员中由高至低排序，按1:1比例确定体检人选。体检标准参照公务员录用体检标准执行。对身体条件有特殊要求的岗位，国家另有明确规定的，按国家规定执行。出现体检不合格的，按考试成绩从高至低等额递补。</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对体检合格的应聘人员进行考察和资格复审，综合笔试、面试成绩、体检结果和考察情况，确定拟聘人员。</w:t>
      </w:r>
    </w:p>
    <w:p>
      <w:pPr>
        <w:pStyle w:val="2"/>
        <w:shd w:val="clear" w:color="auto" w:fill="FFFFFF"/>
        <w:spacing w:line="460" w:lineRule="exact"/>
        <w:ind w:firstLine="591"/>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（五）公示。</w:t>
      </w:r>
    </w:p>
    <w:p>
      <w:pPr>
        <w:pStyle w:val="2"/>
        <w:shd w:val="clear" w:color="auto" w:fill="FFFFFF"/>
        <w:spacing w:line="460" w:lineRule="exact"/>
        <w:ind w:firstLine="591"/>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按规定要求，拟聘人员在交通运输部广州打捞局网站公示7个工作日。</w:t>
      </w:r>
    </w:p>
    <w:p>
      <w:pPr>
        <w:pStyle w:val="2"/>
        <w:shd w:val="clear" w:color="auto" w:fill="FFFFFF"/>
        <w:spacing w:line="460" w:lineRule="exact"/>
        <w:ind w:firstLine="591"/>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（六）办理聘用手续。</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被聘用人员应在规定时间内报到，在通知报到时限内拒不报到的，取消聘用资格。新聘用人员实行试用期满考核制度，试用期满考核合格的予以正式聘用，考核不合格的取消聘用。</w:t>
      </w:r>
    </w:p>
    <w:p>
      <w:pPr>
        <w:pStyle w:val="2"/>
        <w:shd w:val="clear" w:color="auto" w:fill="FFFFFF"/>
        <w:spacing w:line="460" w:lineRule="exact"/>
        <w:ind w:left="605"/>
        <w:jc w:val="both"/>
        <w:rPr>
          <w:rFonts w:ascii="黑体" w:hAnsi="黑体" w:eastAsia="黑体" w:cs="黑体"/>
          <w:color w:val="auto"/>
          <w:sz w:val="21"/>
          <w:szCs w:val="21"/>
        </w:rPr>
      </w:pPr>
      <w:r>
        <w:rPr>
          <w:rStyle w:val="5"/>
          <w:rFonts w:hint="eastAsia" w:ascii="黑体" w:hAnsi="黑体" w:eastAsia="黑体" w:cs="黑体"/>
          <w:color w:val="auto"/>
          <w:sz w:val="30"/>
          <w:szCs w:val="30"/>
        </w:rPr>
        <w:t>六、聘用待遇</w:t>
      </w:r>
    </w:p>
    <w:p>
      <w:pPr>
        <w:pStyle w:val="2"/>
        <w:shd w:val="clear" w:color="auto" w:fill="FFFFFF"/>
        <w:spacing w:line="460" w:lineRule="exact"/>
        <w:ind w:firstLine="600"/>
        <w:jc w:val="both"/>
        <w:rPr>
          <w:rFonts w:ascii="仿宋_GB2312" w:hAnsi="仿宋_GB2312" w:eastAsia="仿宋_GB2312" w:cs="仿宋_GB2312"/>
          <w:color w:val="auto"/>
          <w:sz w:val="21"/>
          <w:szCs w:val="21"/>
        </w:rPr>
      </w:pPr>
      <w:r>
        <w:rPr>
          <w:rFonts w:hint="eastAsia" w:ascii="仿宋_GB2312" w:hAnsi="仿宋_GB2312" w:eastAsia="仿宋_GB2312" w:cs="仿宋_GB2312"/>
          <w:color w:val="auto"/>
          <w:sz w:val="30"/>
          <w:szCs w:val="30"/>
        </w:rPr>
        <w:t>被聘用人员纳入事业单位编制人员管理，签订聘用合同，执行国家及聘用单位有关薪酬待遇。</w:t>
      </w:r>
    </w:p>
    <w:p>
      <w:pPr>
        <w:pStyle w:val="2"/>
        <w:shd w:val="clear" w:color="auto" w:fill="FFFFFF"/>
        <w:spacing w:line="460" w:lineRule="exact"/>
        <w:ind w:firstLine="591"/>
        <w:jc w:val="both"/>
        <w:rPr>
          <w:rFonts w:ascii="黑体" w:hAnsi="黑体" w:eastAsia="黑体" w:cs="黑体"/>
          <w:color w:val="auto"/>
          <w:sz w:val="21"/>
          <w:szCs w:val="21"/>
        </w:rPr>
      </w:pPr>
      <w:r>
        <w:rPr>
          <w:rFonts w:hint="eastAsia" w:ascii="黑体" w:hAnsi="黑体" w:eastAsia="黑体" w:cs="黑体"/>
          <w:b/>
          <w:bCs/>
          <w:color w:val="auto"/>
          <w:sz w:val="30"/>
          <w:szCs w:val="30"/>
        </w:rPr>
        <w:t>七、其他</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（一）若某招聘岗位因面试合格人数或体检合格人数或综合考察合格人数少于岗位招聘人数，且没有递补人选不能形成有效竞争的，经我局研究后，此招聘岗位可以部分或全部空缺。</w:t>
      </w:r>
      <w:r>
        <w:rPr>
          <w:rFonts w:hint="eastAsia" w:ascii="仿宋_GB2312" w:hAnsi="仿宋_GB2312" w:eastAsia="仿宋_GB2312" w:cs="仿宋_GB2312"/>
          <w:color w:val="auto"/>
          <w:sz w:val="30"/>
          <w:szCs w:val="30"/>
        </w:rPr>
        <w:br w:type="textWrapping"/>
      </w:r>
      <w:r>
        <w:rPr>
          <w:rFonts w:hint="eastAsia" w:ascii="仿宋_GB2312" w:hAnsi="仿宋_GB2312" w:eastAsia="仿宋_GB2312" w:cs="仿宋_GB2312"/>
          <w:color w:val="auto"/>
          <w:sz w:val="30"/>
          <w:szCs w:val="30"/>
        </w:rPr>
        <w:t>　　（二）报名时应如实填报个人信息。对于弄虚作假、隐瞒真实情况或不符合岗位要求的，一经发现，取消其应聘资格。</w:t>
      </w:r>
    </w:p>
    <w:p>
      <w:pPr>
        <w:pStyle w:val="2"/>
        <w:shd w:val="clear" w:color="auto" w:fill="FFFFFF"/>
        <w:spacing w:line="460" w:lineRule="exact"/>
        <w:ind w:firstLine="591"/>
        <w:jc w:val="both"/>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三）报名表具体填写要求：①相关工作经历资历计算截止时间为2023年3月。学习经历、社会工作经历时间段填写到月，应完整、连续，避免出现空白时间段。社会工作经历：填写起止时间、单位名称及职务。待业也请一并注明。②家庭成员情况栏：已婚的填写配偶、子女、父母、岳父母或公婆的基本信息，未婚的填写父母、兄弟姐妹的基本信息（包括工作单位、职务等）。家庭成员无业或待业的，请在工作单位栏填写常住地地址，子女为学生的，填写学校名称。</w:t>
      </w:r>
    </w:p>
    <w:p>
      <w:pPr>
        <w:pStyle w:val="2"/>
        <w:shd w:val="clear" w:color="auto" w:fill="FFFFFF"/>
        <w:spacing w:line="460" w:lineRule="exact"/>
        <w:ind w:left="1852" w:leftChars="426" w:hanging="957" w:hangingChars="319"/>
        <w:jc w:val="both"/>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附件：交通运输部广州打捞局2023年公开招聘</w:t>
      </w:r>
      <w:bookmarkStart w:id="2" w:name="_GoBack"/>
      <w:bookmarkEnd w:id="2"/>
      <w:r>
        <w:rPr>
          <w:rFonts w:hint="eastAsia" w:ascii="仿宋_GB2312" w:hAnsi="仿宋_GB2312" w:eastAsia="仿宋_GB2312" w:cs="仿宋_GB2312"/>
          <w:color w:val="auto"/>
          <w:sz w:val="30"/>
          <w:szCs w:val="30"/>
        </w:rPr>
        <w:t>事业编制工作人员报名表</w:t>
      </w:r>
    </w:p>
    <w:p>
      <w:pPr>
        <w:pStyle w:val="2"/>
        <w:shd w:val="clear" w:color="auto" w:fill="FFFFFF"/>
        <w:spacing w:line="460" w:lineRule="exact"/>
        <w:ind w:left="1852" w:leftChars="426" w:hanging="957" w:hangingChars="319"/>
        <w:jc w:val="both"/>
        <w:rPr>
          <w:rFonts w:hint="eastAsia" w:ascii="仿宋_GB2312" w:hAnsi="仿宋_GB2312" w:eastAsia="仿宋_GB2312" w:cs="仿宋_GB2312"/>
          <w:color w:val="auto"/>
          <w:sz w:val="30"/>
          <w:szCs w:val="30"/>
        </w:rPr>
      </w:pPr>
    </w:p>
    <w:p>
      <w:pPr>
        <w:spacing w:line="0" w:lineRule="atLeast"/>
        <w:ind w:firstLine="4050" w:firstLineChars="1350"/>
        <w:rPr>
          <w:rFonts w:ascii="仿宋_GB2312" w:hAnsi="仿宋" w:eastAsia="仿宋_GB2312"/>
          <w:color w:val="auto"/>
          <w:sz w:val="32"/>
          <w:szCs w:val="32"/>
        </w:rPr>
      </w:pPr>
      <w:r>
        <w:rPr>
          <w:rFonts w:hint="eastAsia"/>
          <w:color w:val="auto"/>
          <w:sz w:val="30"/>
          <w:szCs w:val="30"/>
        </w:rPr>
        <w:t> </w:t>
      </w:r>
      <w:r>
        <w:rPr>
          <w:rFonts w:hint="eastAsia" w:ascii="仿宋_GB2312" w:hAnsi="仿宋" w:eastAsia="仿宋_GB2312"/>
          <w:color w:val="auto"/>
          <w:sz w:val="32"/>
          <w:szCs w:val="32"/>
        </w:rPr>
        <w:t>交通运输部广州打捞局</w:t>
      </w:r>
    </w:p>
    <w:p>
      <w:pPr>
        <w:spacing w:line="0" w:lineRule="atLeast"/>
        <w:jc w:val="center"/>
        <w:rPr>
          <w:color w:val="auto"/>
          <w:sz w:val="30"/>
          <w:szCs w:val="30"/>
        </w:rPr>
      </w:pPr>
      <w:r>
        <w:rPr>
          <w:rFonts w:hint="eastAsia" w:ascii="仿宋_GB2312" w:hAnsi="仿宋" w:eastAsia="仿宋_GB2312"/>
          <w:color w:val="auto"/>
          <w:sz w:val="32"/>
          <w:szCs w:val="32"/>
        </w:rPr>
        <w:t>　　　　　　　　　　2023年2月</w:t>
      </w:r>
      <w:r>
        <w:rPr>
          <w:rFonts w:hint="eastAsia" w:ascii="仿宋_GB2312" w:hAnsi="仿宋" w:eastAsia="仿宋_GB2312"/>
          <w:color w:val="auto"/>
          <w:sz w:val="32"/>
          <w:szCs w:val="32"/>
          <w:lang w:val="en-US" w:eastAsia="zh-CN"/>
        </w:rPr>
        <w:t>10</w:t>
      </w:r>
      <w:r>
        <w:rPr>
          <w:rFonts w:hint="eastAsia" w:ascii="仿宋_GB2312" w:hAnsi="仿宋" w:eastAsia="仿宋_GB2312"/>
          <w:color w:val="auto"/>
          <w:sz w:val="32"/>
          <w:szCs w:val="32"/>
        </w:rPr>
        <w:t>日</w:t>
      </w:r>
      <w:bookmarkEnd w:id="0"/>
      <w:bookmarkEnd w:id="1"/>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5F07BC"/>
    <w:multiLevelType w:val="multilevel"/>
    <w:tmpl w:val="035F07BC"/>
    <w:lvl w:ilvl="0" w:tentative="0">
      <w:start w:val="1"/>
      <w:numFmt w:val="japaneseCounting"/>
      <w:lvlText w:val="%1、"/>
      <w:lvlJc w:val="left"/>
      <w:pPr>
        <w:ind w:left="1208" w:hanging="615"/>
      </w:pPr>
      <w:rPr>
        <w:rFonts w:hint="default" w:ascii="仿宋" w:hAnsi="仿宋" w:eastAsia="仿宋"/>
        <w:b/>
        <w:sz w:val="30"/>
      </w:rPr>
    </w:lvl>
    <w:lvl w:ilvl="1" w:tentative="0">
      <w:start w:val="1"/>
      <w:numFmt w:val="lowerLetter"/>
      <w:lvlText w:val="%2)"/>
      <w:lvlJc w:val="left"/>
      <w:pPr>
        <w:ind w:left="1433" w:hanging="420"/>
      </w:pPr>
    </w:lvl>
    <w:lvl w:ilvl="2" w:tentative="0">
      <w:start w:val="1"/>
      <w:numFmt w:val="lowerRoman"/>
      <w:lvlText w:val="%3."/>
      <w:lvlJc w:val="right"/>
      <w:pPr>
        <w:ind w:left="1853" w:hanging="420"/>
      </w:pPr>
    </w:lvl>
    <w:lvl w:ilvl="3" w:tentative="0">
      <w:start w:val="1"/>
      <w:numFmt w:val="decimal"/>
      <w:lvlText w:val="%4."/>
      <w:lvlJc w:val="left"/>
      <w:pPr>
        <w:ind w:left="2273" w:hanging="420"/>
      </w:pPr>
    </w:lvl>
    <w:lvl w:ilvl="4" w:tentative="0">
      <w:start w:val="1"/>
      <w:numFmt w:val="lowerLetter"/>
      <w:lvlText w:val="%5)"/>
      <w:lvlJc w:val="left"/>
      <w:pPr>
        <w:ind w:left="2693" w:hanging="420"/>
      </w:pPr>
    </w:lvl>
    <w:lvl w:ilvl="5" w:tentative="0">
      <w:start w:val="1"/>
      <w:numFmt w:val="lowerRoman"/>
      <w:lvlText w:val="%6."/>
      <w:lvlJc w:val="right"/>
      <w:pPr>
        <w:ind w:left="3113" w:hanging="420"/>
      </w:pPr>
    </w:lvl>
    <w:lvl w:ilvl="6" w:tentative="0">
      <w:start w:val="1"/>
      <w:numFmt w:val="decimal"/>
      <w:lvlText w:val="%7."/>
      <w:lvlJc w:val="left"/>
      <w:pPr>
        <w:ind w:left="3533" w:hanging="420"/>
      </w:pPr>
    </w:lvl>
    <w:lvl w:ilvl="7" w:tentative="0">
      <w:start w:val="1"/>
      <w:numFmt w:val="lowerLetter"/>
      <w:lvlText w:val="%8)"/>
      <w:lvlJc w:val="left"/>
      <w:pPr>
        <w:ind w:left="3953" w:hanging="420"/>
      </w:pPr>
    </w:lvl>
    <w:lvl w:ilvl="8" w:tentative="0">
      <w:start w:val="1"/>
      <w:numFmt w:val="lowerRoman"/>
      <w:lvlText w:val="%9."/>
      <w:lvlJc w:val="right"/>
      <w:pPr>
        <w:ind w:left="437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0393B"/>
    <w:rsid w:val="004F4F4B"/>
    <w:rsid w:val="00E26EB5"/>
    <w:rsid w:val="021F48F0"/>
    <w:rsid w:val="02E87959"/>
    <w:rsid w:val="03D72798"/>
    <w:rsid w:val="05B51D90"/>
    <w:rsid w:val="05DA4051"/>
    <w:rsid w:val="061C68D8"/>
    <w:rsid w:val="061F3087"/>
    <w:rsid w:val="06401A5F"/>
    <w:rsid w:val="07214155"/>
    <w:rsid w:val="07E920BF"/>
    <w:rsid w:val="083E018F"/>
    <w:rsid w:val="088A5D4D"/>
    <w:rsid w:val="0AC1240C"/>
    <w:rsid w:val="0BA51031"/>
    <w:rsid w:val="0BE63CCC"/>
    <w:rsid w:val="0C3B3EFB"/>
    <w:rsid w:val="0CA9044F"/>
    <w:rsid w:val="0E7F2C54"/>
    <w:rsid w:val="10AF3BD4"/>
    <w:rsid w:val="11A04F16"/>
    <w:rsid w:val="12002EE8"/>
    <w:rsid w:val="12956261"/>
    <w:rsid w:val="136C1459"/>
    <w:rsid w:val="13F15467"/>
    <w:rsid w:val="165D4936"/>
    <w:rsid w:val="17CA4D7A"/>
    <w:rsid w:val="18145413"/>
    <w:rsid w:val="188F3B03"/>
    <w:rsid w:val="1BDB4DE6"/>
    <w:rsid w:val="1C66239C"/>
    <w:rsid w:val="1CA11214"/>
    <w:rsid w:val="1CF95E70"/>
    <w:rsid w:val="1D34145D"/>
    <w:rsid w:val="1DA13AFC"/>
    <w:rsid w:val="20080671"/>
    <w:rsid w:val="214B7881"/>
    <w:rsid w:val="25E12040"/>
    <w:rsid w:val="279F2A6C"/>
    <w:rsid w:val="295C078F"/>
    <w:rsid w:val="29687042"/>
    <w:rsid w:val="299F6FA5"/>
    <w:rsid w:val="2B306013"/>
    <w:rsid w:val="2BD4317C"/>
    <w:rsid w:val="2C8D32BD"/>
    <w:rsid w:val="2D215568"/>
    <w:rsid w:val="2FB626A6"/>
    <w:rsid w:val="318422C9"/>
    <w:rsid w:val="32AD23B7"/>
    <w:rsid w:val="32C9474D"/>
    <w:rsid w:val="34CB784C"/>
    <w:rsid w:val="3A8A5C56"/>
    <w:rsid w:val="3EA91F5D"/>
    <w:rsid w:val="3EE76DA2"/>
    <w:rsid w:val="41C82D25"/>
    <w:rsid w:val="430713EE"/>
    <w:rsid w:val="43921801"/>
    <w:rsid w:val="46B648EF"/>
    <w:rsid w:val="470E3392"/>
    <w:rsid w:val="479D2667"/>
    <w:rsid w:val="49FC391D"/>
    <w:rsid w:val="4B237EA2"/>
    <w:rsid w:val="4CA8680F"/>
    <w:rsid w:val="4CE64B38"/>
    <w:rsid w:val="4D37512D"/>
    <w:rsid w:val="4DDF67CD"/>
    <w:rsid w:val="501043A8"/>
    <w:rsid w:val="50265D47"/>
    <w:rsid w:val="50AA14BA"/>
    <w:rsid w:val="527327EF"/>
    <w:rsid w:val="55321827"/>
    <w:rsid w:val="570E14C7"/>
    <w:rsid w:val="57A11A6C"/>
    <w:rsid w:val="57BA7A39"/>
    <w:rsid w:val="581B3CB8"/>
    <w:rsid w:val="585950F6"/>
    <w:rsid w:val="58A515A0"/>
    <w:rsid w:val="591F550F"/>
    <w:rsid w:val="5AAB32EB"/>
    <w:rsid w:val="5AC0393B"/>
    <w:rsid w:val="5AC8461D"/>
    <w:rsid w:val="5B110AEC"/>
    <w:rsid w:val="5B910816"/>
    <w:rsid w:val="62030990"/>
    <w:rsid w:val="620962B2"/>
    <w:rsid w:val="633F33E8"/>
    <w:rsid w:val="654C2BCB"/>
    <w:rsid w:val="6738166E"/>
    <w:rsid w:val="68F347E9"/>
    <w:rsid w:val="69D50CB4"/>
    <w:rsid w:val="6A2D21B6"/>
    <w:rsid w:val="6AE52482"/>
    <w:rsid w:val="6B53022E"/>
    <w:rsid w:val="6C270DFC"/>
    <w:rsid w:val="70173140"/>
    <w:rsid w:val="707F11BC"/>
    <w:rsid w:val="73FF516A"/>
    <w:rsid w:val="74A45B5D"/>
    <w:rsid w:val="77EE2EE8"/>
    <w:rsid w:val="786F4F70"/>
    <w:rsid w:val="792B2CD0"/>
    <w:rsid w:val="794238E7"/>
    <w:rsid w:val="7C147DB7"/>
    <w:rsid w:val="7C7B2ABD"/>
    <w:rsid w:val="7E4C7746"/>
    <w:rsid w:val="7F395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5">
    <w:name w:val="Strong"/>
    <w:basedOn w:val="4"/>
    <w:qFormat/>
    <w:uiPriority w:val="22"/>
    <w:rPr>
      <w:b/>
      <w:bCs/>
    </w:rPr>
  </w:style>
  <w:style w:type="character" w:styleId="6">
    <w:name w:val="FollowedHyperlink"/>
    <w:basedOn w:val="4"/>
    <w:qFormat/>
    <w:uiPriority w:val="0"/>
    <w:rPr>
      <w:color w:val="800080"/>
      <w:u w:val="single"/>
    </w:rPr>
  </w:style>
  <w:style w:type="character" w:styleId="7">
    <w:name w:val="Hyperlink"/>
    <w:basedOn w:val="4"/>
    <w:qFormat/>
    <w:uiPriority w:val="99"/>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2023-02-09T07:24:00Z</dcterms:created>
  <dc:creator>阮嘉俊</dc:creator>
  <cp:lastModifiedBy>阮嘉俊</cp:lastModifiedBy>
  <dcterms:modified xsi:type="dcterms:W3CDTF">2023-02-10T01:25:13Z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