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大黑_GBK" w:hAnsi="方正大标宋简体" w:eastAsia="方正大黑_GBK" w:cs="方正大标宋简体"/>
          <w:spacing w:val="7"/>
          <w:sz w:val="30"/>
          <w:szCs w:val="30"/>
          <w:u w:color="333333"/>
          <w:lang w:val="en-US" w:eastAsia="zh-CN"/>
        </w:rPr>
      </w:pPr>
      <w:r>
        <w:rPr>
          <w:rFonts w:hint="eastAsia" w:ascii="方正大黑_GBK" w:hAnsi="方正大标宋简体" w:eastAsia="方正大黑_GBK" w:cs="方正大标宋简体"/>
          <w:spacing w:val="7"/>
          <w:sz w:val="30"/>
          <w:szCs w:val="30"/>
          <w:u w:color="333333"/>
          <w:lang w:val="en-US" w:eastAsia="zh-CN"/>
        </w:rPr>
        <w:t>附件1：《2022年安徽峙恒工程管理有限公司招聘岗位表》</w:t>
      </w:r>
    </w:p>
    <w:p>
      <w:pPr>
        <w:pStyle w:val="5"/>
        <w:widowControl/>
        <w:spacing w:beforeAutospacing="0" w:afterAutospacing="0"/>
        <w:ind w:firstLine="420"/>
      </w:pPr>
    </w:p>
    <w:tbl>
      <w:tblPr>
        <w:tblStyle w:val="7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566"/>
        <w:gridCol w:w="2413"/>
        <w:gridCol w:w="975"/>
        <w:gridCol w:w="975"/>
        <w:gridCol w:w="2037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81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招聘岗位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代码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6400" w:type="dxa"/>
            <w:gridSpan w:val="4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招聘所需资格条件</w:t>
            </w:r>
          </w:p>
        </w:tc>
        <w:tc>
          <w:tcPr>
            <w:tcW w:w="1434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</w:p>
        </w:tc>
        <w:tc>
          <w:tcPr>
            <w:tcW w:w="2413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37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35周岁以下是指1987年11月1日（含）以后出生；30周岁以下是指1992年11月1日（含）以后出生；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181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行政管理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  <w:lang w:val="en-US" w:eastAsia="zh-CN"/>
              </w:rPr>
              <w:t>2212001</w:t>
            </w:r>
          </w:p>
        </w:tc>
        <w:tc>
          <w:tcPr>
            <w:tcW w:w="566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汉语言文学、秘书学、</w:t>
            </w:r>
            <w:r>
              <w:rPr>
                <w:rFonts w:hint="eastAsia"/>
                <w:lang w:val="en-US" w:eastAsia="zh-CN"/>
              </w:rPr>
              <w:t>新闻传播学类、</w:t>
            </w:r>
            <w:r>
              <w:rPr>
                <w:rFonts w:hint="eastAsia"/>
              </w:rPr>
              <w:t>法律、工商管理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2037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熟练操作计算机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  <w:lang w:val="en-US" w:eastAsia="zh-CN"/>
              </w:rPr>
              <w:t>常用办公软件；</w:t>
            </w:r>
            <w:r>
              <w:rPr>
                <w:rFonts w:hint="eastAsia"/>
                <w:color w:val="auto"/>
              </w:rPr>
              <w:t>文字功底扎实。</w:t>
            </w:r>
            <w:r>
              <w:rPr>
                <w:rFonts w:hint="eastAsia"/>
                <w:color w:val="auto"/>
                <w:lang w:val="en-US" w:eastAsia="zh-CN"/>
              </w:rPr>
              <w:t>历、应届毕业生均可。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81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造价咨询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  <w:lang w:val="en-US" w:eastAsia="zh-CN"/>
              </w:rPr>
              <w:t>2212002</w:t>
            </w:r>
          </w:p>
        </w:tc>
        <w:tc>
          <w:tcPr>
            <w:tcW w:w="566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土木工程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工程管理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工程造价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全日制专科及以上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35周岁以下</w:t>
            </w:r>
          </w:p>
        </w:tc>
        <w:tc>
          <w:tcPr>
            <w:tcW w:w="2037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有一级、二级造价师证书的优先</w:t>
            </w:r>
            <w:r>
              <w:rPr>
                <w:rFonts w:hint="eastAsia"/>
                <w:color w:val="auto"/>
                <w:lang w:eastAsia="zh-CN"/>
              </w:rPr>
              <w:t>。</w:t>
            </w:r>
            <w:r>
              <w:rPr>
                <w:rFonts w:hint="eastAsia"/>
                <w:color w:val="auto"/>
                <w:lang w:val="en-US" w:eastAsia="zh-CN"/>
              </w:rPr>
              <w:t>历、应届毕业生均可。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181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工程监理</w:t>
            </w:r>
            <w:r>
              <w:rPr>
                <w:rFonts w:hint="eastAsia"/>
                <w:lang w:val="en-US" w:eastAsia="zh-CN"/>
              </w:rPr>
              <w:t>2212003</w:t>
            </w:r>
          </w:p>
        </w:tc>
        <w:tc>
          <w:tcPr>
            <w:tcW w:w="566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土木工程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工程管理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工程监理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建筑工程技术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建筑电气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机电一体化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建筑环境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设备工程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智能建造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建筑学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全日制专科及以上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2037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有相关资格证书的优先，</w:t>
            </w:r>
            <w:r>
              <w:rPr>
                <w:rFonts w:hint="eastAsia"/>
                <w:color w:val="auto"/>
              </w:rPr>
              <w:t>工作地点服从公司安排，能适应</w:t>
            </w:r>
            <w:r>
              <w:rPr>
                <w:rFonts w:hint="eastAsia"/>
                <w:color w:val="auto"/>
                <w:lang w:val="en-US" w:eastAsia="zh-CN"/>
              </w:rPr>
              <w:t>宿州市区以外的</w:t>
            </w:r>
            <w:r>
              <w:rPr>
                <w:rFonts w:hint="eastAsia"/>
                <w:color w:val="auto"/>
              </w:rPr>
              <w:t>项目</w:t>
            </w:r>
            <w:r>
              <w:rPr>
                <w:rFonts w:hint="eastAsia"/>
                <w:color w:val="auto"/>
                <w:lang w:eastAsia="zh-CN"/>
              </w:rPr>
              <w:t>。</w:t>
            </w:r>
            <w:r>
              <w:rPr>
                <w:rFonts w:hint="eastAsia"/>
                <w:color w:val="auto"/>
                <w:lang w:val="en-US" w:eastAsia="zh-CN"/>
              </w:rPr>
              <w:t>历、应届毕业生均可。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181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/>
              </w:rPr>
              <w:t>合计</w:t>
            </w:r>
          </w:p>
        </w:tc>
        <w:tc>
          <w:tcPr>
            <w:tcW w:w="566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3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</w:p>
        </w:tc>
        <w:tc>
          <w:tcPr>
            <w:tcW w:w="975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</w:p>
        </w:tc>
        <w:tc>
          <w:tcPr>
            <w:tcW w:w="2037" w:type="dxa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/>
            </w:pPr>
          </w:p>
        </w:tc>
      </w:tr>
    </w:tbl>
    <w:p>
      <w:pPr>
        <w:ind w:left="3454" w:hanging="3674" w:hangingChars="1100"/>
        <w:jc w:val="left"/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  <w:lang w:val="en-US" w:eastAsia="zh-CN"/>
        </w:rPr>
      </w:pPr>
    </w:p>
    <w:p>
      <w:pPr>
        <w:ind w:left="3454" w:hanging="3674" w:hangingChars="1100"/>
        <w:jc w:val="left"/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  <w:lang w:val="en-US" w:eastAsia="zh-CN"/>
        </w:rPr>
      </w:pPr>
    </w:p>
    <w:p>
      <w:pPr>
        <w:ind w:left="3454" w:hanging="3674" w:hangingChars="1100"/>
        <w:jc w:val="left"/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  <w:lang w:val="en-US" w:eastAsia="zh-CN"/>
        </w:rPr>
      </w:pPr>
    </w:p>
    <w:p>
      <w:pPr>
        <w:ind w:left="3454" w:hanging="3674" w:hangingChars="1100"/>
        <w:jc w:val="left"/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  <w:lang w:val="en-US" w:eastAsia="zh-CN"/>
        </w:rPr>
      </w:pPr>
      <w:bookmarkStart w:id="0" w:name="_GoBack"/>
      <w:bookmarkEnd w:id="0"/>
    </w:p>
    <w:p>
      <w:pPr>
        <w:ind w:left="3454" w:hanging="3674" w:hangingChars="1100"/>
        <w:jc w:val="left"/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  <w:lang w:val="en-US" w:eastAsia="zh-CN"/>
        </w:rPr>
      </w:pPr>
    </w:p>
    <w:p>
      <w:pPr>
        <w:ind w:left="3454" w:hanging="3674" w:hangingChars="1100"/>
        <w:jc w:val="left"/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阿里巴巴普惠体 M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MDIzOGMyNDIwNjdhNGVkNTA0OWFlMTg4ZWM4NTMifQ=="/>
  </w:docVars>
  <w:rsids>
    <w:rsidRoot w:val="091668AA"/>
    <w:rsid w:val="00043408"/>
    <w:rsid w:val="00090261"/>
    <w:rsid w:val="000C0B8C"/>
    <w:rsid w:val="00115A84"/>
    <w:rsid w:val="00472593"/>
    <w:rsid w:val="005143E5"/>
    <w:rsid w:val="00582265"/>
    <w:rsid w:val="006D07B2"/>
    <w:rsid w:val="007311B5"/>
    <w:rsid w:val="00762958"/>
    <w:rsid w:val="00767DD8"/>
    <w:rsid w:val="007F2157"/>
    <w:rsid w:val="00861DC5"/>
    <w:rsid w:val="00880C4A"/>
    <w:rsid w:val="00A05A25"/>
    <w:rsid w:val="00B00F2B"/>
    <w:rsid w:val="00EE225B"/>
    <w:rsid w:val="00F74A96"/>
    <w:rsid w:val="00FF2836"/>
    <w:rsid w:val="051C683A"/>
    <w:rsid w:val="091668AA"/>
    <w:rsid w:val="0B806E94"/>
    <w:rsid w:val="0DC91710"/>
    <w:rsid w:val="0E1F35AA"/>
    <w:rsid w:val="0FF57655"/>
    <w:rsid w:val="131C20FB"/>
    <w:rsid w:val="169F6080"/>
    <w:rsid w:val="16A56729"/>
    <w:rsid w:val="16F271C0"/>
    <w:rsid w:val="19493E9B"/>
    <w:rsid w:val="1B272F96"/>
    <w:rsid w:val="1B441692"/>
    <w:rsid w:val="20D577AF"/>
    <w:rsid w:val="21B74BC2"/>
    <w:rsid w:val="23D77C71"/>
    <w:rsid w:val="245051B1"/>
    <w:rsid w:val="249E4F3E"/>
    <w:rsid w:val="292F74B3"/>
    <w:rsid w:val="2B06041A"/>
    <w:rsid w:val="2B856638"/>
    <w:rsid w:val="2BCD21C5"/>
    <w:rsid w:val="2E3D769E"/>
    <w:rsid w:val="2ECA0D90"/>
    <w:rsid w:val="30CB1931"/>
    <w:rsid w:val="349338D8"/>
    <w:rsid w:val="386E001B"/>
    <w:rsid w:val="39C17F9B"/>
    <w:rsid w:val="3B5B5607"/>
    <w:rsid w:val="3BA4501E"/>
    <w:rsid w:val="3BEA26DE"/>
    <w:rsid w:val="3E4554F3"/>
    <w:rsid w:val="3F2165EC"/>
    <w:rsid w:val="406C7E25"/>
    <w:rsid w:val="410A3A30"/>
    <w:rsid w:val="42724CCA"/>
    <w:rsid w:val="47693518"/>
    <w:rsid w:val="4A337FDF"/>
    <w:rsid w:val="537F7C5A"/>
    <w:rsid w:val="53B47026"/>
    <w:rsid w:val="54C067AF"/>
    <w:rsid w:val="5B914FBF"/>
    <w:rsid w:val="604A6707"/>
    <w:rsid w:val="69707CA8"/>
    <w:rsid w:val="6ABE3EC2"/>
    <w:rsid w:val="6B5850D1"/>
    <w:rsid w:val="6C6110B7"/>
    <w:rsid w:val="71C104E0"/>
    <w:rsid w:val="73287130"/>
    <w:rsid w:val="77903967"/>
    <w:rsid w:val="7A64151D"/>
    <w:rsid w:val="7D376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sz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4851</Words>
  <Characters>5219</Characters>
  <Lines>31</Lines>
  <Paragraphs>8</Paragraphs>
  <TotalTime>29</TotalTime>
  <ScaleCrop>false</ScaleCrop>
  <LinksUpToDate>false</LinksUpToDate>
  <CharactersWithSpaces>5604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2022-11-16T04:24:00Z</dcterms:created>
  <dc:creator>Administrator</dc:creator>
  <cp:lastModifiedBy>阚阳光</cp:lastModifiedBy>
  <cp:lastPrinted>2022-12-06T00:39:00Z</cp:lastPrinted>
  <dcterms:modified xsi:type="dcterms:W3CDTF">2022-12-06T01:41:12Z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1E4D011939E94E3CB4E55BB33CC814F9</vt:lpwstr>
  </property>
</Properties>
</file>