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jc w:val="left"/>
        <w:rPr>
          <w:rFonts w:ascii="Times New Roman" w:hAnsi="Times New Roman" w:eastAsia="方正黑体_GBK" w:cs="Times New Roman"/>
          <w:kern w:val="1"/>
          <w:sz w:val="32"/>
          <w:szCs w:val="32"/>
        </w:rPr>
      </w:pPr>
      <w:r>
        <w:rPr>
          <w:rFonts w:ascii="Times New Roman" w:hAnsi="Times New Roman" w:eastAsia="方正黑体_GBK" w:cs="Times New Roman"/>
          <w:kern w:val="1"/>
          <w:sz w:val="32"/>
          <w:szCs w:val="32"/>
        </w:rPr>
        <w:t>附件1</w:t>
      </w:r>
      <w:bookmarkStart w:id="0" w:name="_GoBack"/>
      <w:bookmarkEnd w:id="0"/>
    </w:p>
    <w:p>
      <w:pPr>
        <w:pStyle w:val="7"/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1"/>
          <w:sz w:val="36"/>
          <w:szCs w:val="36"/>
        </w:rPr>
        <w:t>红河发展集团有限公司</w:t>
      </w:r>
      <w:r>
        <w:rPr>
          <w:rFonts w:hint="eastAsia" w:ascii="方正小标宋_GBK" w:hAnsi="方正小标宋_GBK" w:eastAsia="方正小标宋_GBK" w:cs="方正小标宋_GBK"/>
          <w:kern w:val="1"/>
          <w:sz w:val="36"/>
          <w:szCs w:val="36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kern w:val="1"/>
          <w:sz w:val="36"/>
          <w:szCs w:val="36"/>
        </w:rPr>
        <w:t>第二批</w:t>
      </w:r>
      <w:r>
        <w:rPr>
          <w:rFonts w:hint="eastAsia" w:ascii="方正小标宋_GBK" w:hAnsi="方正小标宋_GBK" w:eastAsia="方正小标宋_GBK" w:cs="方正小标宋_GBK"/>
          <w:kern w:val="1"/>
          <w:sz w:val="36"/>
          <w:szCs w:val="36"/>
          <w:lang w:val="en-US"/>
        </w:rPr>
        <w:t>公开</w:t>
      </w:r>
      <w:r>
        <w:rPr>
          <w:rFonts w:hint="eastAsia" w:ascii="方正小标宋_GBK" w:hAnsi="方正小标宋_GBK" w:eastAsia="方正小标宋_GBK" w:cs="方正小标宋_GBK"/>
          <w:kern w:val="1"/>
          <w:sz w:val="36"/>
          <w:szCs w:val="36"/>
        </w:rPr>
        <w:t>招聘岗位明细表</w:t>
      </w:r>
    </w:p>
    <w:tbl>
      <w:tblPr>
        <w:tblStyle w:val="17"/>
        <w:tblW w:w="15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671"/>
        <w:gridCol w:w="795"/>
        <w:gridCol w:w="510"/>
        <w:gridCol w:w="795"/>
        <w:gridCol w:w="615"/>
        <w:gridCol w:w="693"/>
        <w:gridCol w:w="4308"/>
        <w:gridCol w:w="4128"/>
        <w:gridCol w:w="720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  <w:szCs w:val="18"/>
              </w:rPr>
              <w:t>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  <w:szCs w:val="18"/>
              </w:rPr>
              <w:t>层级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招聘单位/部门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职数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年龄要求</w:t>
            </w:r>
          </w:p>
          <w:p>
            <w:pPr>
              <w:widowControl/>
              <w:spacing w:line="300" w:lineRule="exact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w w:val="90"/>
                <w:kern w:val="0"/>
                <w:sz w:val="18"/>
                <w:szCs w:val="18"/>
              </w:rPr>
              <w:t>（不超过）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43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41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9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红河发展集团本部</w:t>
            </w:r>
          </w:p>
          <w:p>
            <w:pPr>
              <w:pStyle w:val="38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38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38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38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0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风险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控制部</w:t>
            </w:r>
          </w:p>
          <w:p>
            <w:pPr>
              <w:pStyle w:val="38"/>
              <w:ind w:firstLine="40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38"/>
              <w:ind w:firstLine="4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38"/>
              <w:ind w:firstLine="4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38"/>
              <w:ind w:firstLine="4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38"/>
              <w:ind w:firstLine="4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38"/>
              <w:ind w:firstLine="4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38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副部长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40周岁（1981年12月以后出生）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43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1.协助部长组织风险防控体系建设，完善相关制度和业务流程；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2.撰写集团年度风险控制要点、制定相应解决对策等，组织实施和指导集团法务和风险防控工作；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3.协助配合部长负责集团公司内部及业务过程中法律风险的事前预防、事中控制、事后处置工作；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4.负责对集团决策及经营事项（合同、议案等）提供法律支持；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5.负责具体统筹协调法律诉讼，接受业务部门的法律咨询，对法律顾问单位进行日常管理；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6.负责集团合规、内控体系建设；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7.负责集团普法等其它法律事务。</w:t>
            </w:r>
          </w:p>
        </w:tc>
        <w:tc>
          <w:tcPr>
            <w:tcW w:w="41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1.持有法律职业资格证；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不少于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5年国企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、律所、上市公司、金融机构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法务工作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3.具备风险识别和把控能力，对国家政策、经济金融形势熟悉，对企业风险点敏感；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4.能够提供与公司生产经营有关的法律咨询；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5.能够对公司内部控制中的风险管理状况进行审查与评价；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6.具备良好的语言表达能力及沟通技巧，工作热情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文字功底扎实，工作严谨细致、思路清晰，有较强的工作事业心和责任感，组织协调能力强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两轮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9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年及以上，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三级及以上企业相关部门副职及以上任职经历，专业可适当放宽，年龄可放宽至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1" w:hRule="atLeast"/>
        </w:trPr>
        <w:tc>
          <w:tcPr>
            <w:tcW w:w="8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风控岗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周岁（198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年12月以后出生）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43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1.负责部分合同起草、审核、修改事宜；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2.负责对集团公司涉诉报送机制执行情况进行跟踪落实；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3.负责完成普法机构下发的各项普法工作任务；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4.负责对公司招标文件中涉及法律部分的材料进行审核；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5.协助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部门领导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处理集团本部及客户的诉讼案件、仲裁案件及劳动争议仲裁等事务；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6.协助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部门领导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完成制度起草工作；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7.协助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部门领导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对公司员工进行法律培训，提升员工法律意识、丰富员工与业务相关的法律知识。</w:t>
            </w:r>
          </w:p>
        </w:tc>
        <w:tc>
          <w:tcPr>
            <w:tcW w:w="41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1.熟悉相关法律法规，掌握各类企业内控、风险管理等基本知识；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2.具有良好的文字与业务能力，能独立完成公司部门安排的工作；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3.有较强的对外联络交际、组织、协调、沟通能力和对内各部门工作的协调能力；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4.工作严谨、踏实细致、思路清晰，有较强的工作事业心和责任感。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两轮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9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5年及以上国企、上市公司、律师从业经历，专业可适当放宽，年龄可放宽至40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  <w:szCs w:val="18"/>
              </w:rPr>
              <w:t>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18"/>
                <w:szCs w:val="18"/>
              </w:rPr>
              <w:t>层级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招聘单位/部门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职数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年龄要求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w w:val="90"/>
                <w:kern w:val="0"/>
                <w:sz w:val="18"/>
                <w:szCs w:val="18"/>
              </w:rPr>
              <w:t>（不超过）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43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41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9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红河发展集团本部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资本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运营部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副部长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40周岁（1981年12月以后出生）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经济学、金融学、经济管理专业</w:t>
            </w:r>
          </w:p>
        </w:tc>
        <w:tc>
          <w:tcPr>
            <w:tcW w:w="43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1.协助部长建立健全公司资本运营管理和融资管理相关工作制度；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2.负责分析集团相关资产、债务情况，研究国家、地方金融政策，协助部长组织编制公司年度资本运营计划，制定公司资本运营方案并组织开展，指导和规范所属企业资本运营工作；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3.负责统筹、指导各级公司融资业务的开展，管控融资风险；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4.能够开拓金融市场，与目标融资机构沟通，建立多元化融资渠道，及时掌握各类金融机构的金融产品特征，与各金融机构建立和保持良好的合作关系；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5.负责所属公司融资业务的日常监督和检查工作。</w:t>
            </w:r>
          </w:p>
        </w:tc>
        <w:tc>
          <w:tcPr>
            <w:tcW w:w="41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银行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投行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基金、信托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等金融机构业务部门有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不少于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的公司、投行、风险管理等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，且在三级及以上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公司（分支机构）具有部门副职及以上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经历；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2.具有扎实的金融和财经专业理论知识，熟悉国家、地方金融政策；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3.具有较强的团队管理能力、组织协调和沟通能力、逻辑分析及文稿写作能力；</w:t>
            </w:r>
          </w:p>
          <w:p>
            <w:pPr>
              <w:pStyle w:val="38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4.熟悉银行、基金、信托、证券、保理等金融机构基本运作方式；</w:t>
            </w:r>
          </w:p>
          <w:p>
            <w:pPr>
              <w:pStyle w:val="38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5.具有一定的金融机构渠道资源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pStyle w:val="38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两轮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9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相应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任职经历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1年及以上，专业可适当放宽，年龄可放宽至45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</w:trPr>
        <w:tc>
          <w:tcPr>
            <w:tcW w:w="8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融资岗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周岁（198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年12月以后出生）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6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经济学、金融学、经济管理专业</w:t>
            </w:r>
          </w:p>
        </w:tc>
        <w:tc>
          <w:tcPr>
            <w:tcW w:w="43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8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1.负责与金融机构对接及融资项目推进工作；</w:t>
            </w:r>
          </w:p>
          <w:p>
            <w:pPr>
              <w:pStyle w:val="38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2.负责公司资本运作类项目工作；</w:t>
            </w:r>
          </w:p>
          <w:p>
            <w:pPr>
              <w:pStyle w:val="38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3.负责融资数据的统计和处理；</w:t>
            </w:r>
          </w:p>
          <w:p>
            <w:pPr>
              <w:pStyle w:val="38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4.负责债务数据的统计、测算与分析；</w:t>
            </w:r>
          </w:p>
          <w:p>
            <w:pPr>
              <w:pStyle w:val="38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5.负责资金催收及债权债务对账工作；</w:t>
            </w:r>
          </w:p>
          <w:p>
            <w:pPr>
              <w:pStyle w:val="38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6.负责融资项目、债务档案整理和保管工作。</w:t>
            </w:r>
          </w:p>
        </w:tc>
        <w:tc>
          <w:tcPr>
            <w:tcW w:w="41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银行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投行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基金、信托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等金融机构业务部门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不少于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的的公司、投行、风险管理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相关工作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或具有国有企业不少于3年的投融资相关工作经历；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掌握银行、基金、信托、证券、保理等金融市场基本信贷产品结构及基本运作方式；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3.有较强的数据处理和分析能力；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4.熟悉融资方案的撰写工作；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5.具备良好的写作能力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两轮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9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相应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从业经历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5年及以上，专业可适当放宽，年龄可放宽至40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岁。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587" w:right="1701" w:bottom="158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9FCB3E2-C50B-4D47-A00B-953F8BE012B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70CE47F-C1C3-458C-9454-1B4561C30C5F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CFEEFBA-301C-4AA5-BB63-C7BEC40F278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CejXje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ZWU0NTliYTNhYzIzYTAxM2E5MWY5NmU1OTBkZWQifQ=="/>
  </w:docVars>
  <w:rsids>
    <w:rsidRoot w:val="00000000"/>
    <w:rsid w:val="0070754E"/>
    <w:rsid w:val="02105DD0"/>
    <w:rsid w:val="02B15F68"/>
    <w:rsid w:val="02CC1E4C"/>
    <w:rsid w:val="03976C0C"/>
    <w:rsid w:val="07F41BDC"/>
    <w:rsid w:val="07F7119B"/>
    <w:rsid w:val="08FF094D"/>
    <w:rsid w:val="095A5B83"/>
    <w:rsid w:val="09BA7A15"/>
    <w:rsid w:val="0C6B107B"/>
    <w:rsid w:val="0C6C2A60"/>
    <w:rsid w:val="0E012A71"/>
    <w:rsid w:val="0FD13810"/>
    <w:rsid w:val="11160E3C"/>
    <w:rsid w:val="111E4D98"/>
    <w:rsid w:val="132C67E2"/>
    <w:rsid w:val="14EB2147"/>
    <w:rsid w:val="15050F26"/>
    <w:rsid w:val="19CA5A4A"/>
    <w:rsid w:val="1AB23A71"/>
    <w:rsid w:val="1B6A2FFD"/>
    <w:rsid w:val="1B813443"/>
    <w:rsid w:val="1D237031"/>
    <w:rsid w:val="1F8A6696"/>
    <w:rsid w:val="20C64DD3"/>
    <w:rsid w:val="20F0379E"/>
    <w:rsid w:val="22141A33"/>
    <w:rsid w:val="22513B6F"/>
    <w:rsid w:val="23774435"/>
    <w:rsid w:val="2503327B"/>
    <w:rsid w:val="25CB59E7"/>
    <w:rsid w:val="262B7203"/>
    <w:rsid w:val="26A34BB6"/>
    <w:rsid w:val="26F31ED9"/>
    <w:rsid w:val="2A7F09D4"/>
    <w:rsid w:val="2BC30E3F"/>
    <w:rsid w:val="2C2E6CCF"/>
    <w:rsid w:val="2FA75D92"/>
    <w:rsid w:val="2FA857B3"/>
    <w:rsid w:val="36021E86"/>
    <w:rsid w:val="37286111"/>
    <w:rsid w:val="37C42D9F"/>
    <w:rsid w:val="3A167501"/>
    <w:rsid w:val="3A59585F"/>
    <w:rsid w:val="3AEA4709"/>
    <w:rsid w:val="402D5344"/>
    <w:rsid w:val="43CC649C"/>
    <w:rsid w:val="43E812FF"/>
    <w:rsid w:val="456D37F1"/>
    <w:rsid w:val="47D27BDB"/>
    <w:rsid w:val="48D604CB"/>
    <w:rsid w:val="4AEA41D0"/>
    <w:rsid w:val="4C43011D"/>
    <w:rsid w:val="4D09528F"/>
    <w:rsid w:val="4DA230CC"/>
    <w:rsid w:val="4E261AA5"/>
    <w:rsid w:val="4EDB5813"/>
    <w:rsid w:val="4FFB3758"/>
    <w:rsid w:val="51422839"/>
    <w:rsid w:val="520B5AD8"/>
    <w:rsid w:val="53503FE5"/>
    <w:rsid w:val="536F628B"/>
    <w:rsid w:val="53CB7DE8"/>
    <w:rsid w:val="53D4054F"/>
    <w:rsid w:val="54736C63"/>
    <w:rsid w:val="555D1494"/>
    <w:rsid w:val="55DD32FD"/>
    <w:rsid w:val="567D25B5"/>
    <w:rsid w:val="57F549C2"/>
    <w:rsid w:val="5B104481"/>
    <w:rsid w:val="5B6D3508"/>
    <w:rsid w:val="5C4A3A6D"/>
    <w:rsid w:val="5DBD5656"/>
    <w:rsid w:val="5E7D505D"/>
    <w:rsid w:val="5F4678B1"/>
    <w:rsid w:val="60065292"/>
    <w:rsid w:val="619C4100"/>
    <w:rsid w:val="62A7589A"/>
    <w:rsid w:val="667A1919"/>
    <w:rsid w:val="66BC291A"/>
    <w:rsid w:val="685E5B5B"/>
    <w:rsid w:val="68F760C0"/>
    <w:rsid w:val="6A4064AF"/>
    <w:rsid w:val="6A443391"/>
    <w:rsid w:val="6A8064BE"/>
    <w:rsid w:val="6C27128A"/>
    <w:rsid w:val="6F883A5C"/>
    <w:rsid w:val="716A3962"/>
    <w:rsid w:val="71B84473"/>
    <w:rsid w:val="77F5220C"/>
    <w:rsid w:val="7A157A2A"/>
    <w:rsid w:val="7BB568C8"/>
    <w:rsid w:val="7D332217"/>
    <w:rsid w:val="7DE4334E"/>
    <w:rsid w:val="7FA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4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9">
    <w:name w:val="Default Paragraph Font"/>
    <w:qFormat/>
    <w:uiPriority w:val="0"/>
  </w:style>
  <w:style w:type="table" w:default="1" w:styleId="1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8">
    <w:name w:val="toc 5"/>
    <w:basedOn w:val="1"/>
    <w:next w:val="1"/>
    <w:qFormat/>
    <w:uiPriority w:val="39"/>
    <w:pPr>
      <w:ind w:left="1680"/>
    </w:pPr>
  </w:style>
  <w:style w:type="paragraph" w:styleId="9">
    <w:name w:val="Body Text Indent"/>
    <w:basedOn w:val="1"/>
    <w:next w:val="5"/>
    <w:qFormat/>
    <w:uiPriority w:val="99"/>
    <w:pPr>
      <w:ind w:right="-931" w:firstLine="630"/>
    </w:pPr>
    <w:rPr>
      <w:sz w:val="30"/>
    </w:rPr>
  </w:style>
  <w:style w:type="paragraph" w:styleId="10">
    <w:name w:val="Plain Text"/>
    <w:basedOn w:val="1"/>
    <w:qFormat/>
    <w:uiPriority w:val="0"/>
    <w:pPr>
      <w:widowControl w:val="0"/>
      <w:jc w:val="both"/>
    </w:pPr>
    <w:rPr>
      <w:rFonts w:hint="default" w:hAnsi="Courier New" w:cs="Courier New"/>
      <w:kern w:val="2"/>
      <w:sz w:val="21"/>
      <w:szCs w:val="21"/>
    </w:rPr>
  </w:style>
  <w:style w:type="paragraph" w:styleId="11">
    <w:name w:val="Body Text Indent 2"/>
    <w:basedOn w:val="1"/>
    <w:qFormat/>
    <w:uiPriority w:val="0"/>
    <w:pPr>
      <w:spacing w:after="120" w:line="360" w:lineRule="auto"/>
      <w:ind w:left="420" w:leftChars="200"/>
    </w:pPr>
    <w:rPr>
      <w:rFonts w:ascii="Times New Roman" w:hAnsi="Times New Roman"/>
      <w:szCs w:val="2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5">
    <w:name w:val="Body Text First Indent"/>
    <w:basedOn w:val="7"/>
    <w:next w:val="1"/>
    <w:qFormat/>
    <w:uiPriority w:val="0"/>
    <w:pPr>
      <w:ind w:firstLine="420" w:firstLineChars="100"/>
    </w:pPr>
  </w:style>
  <w:style w:type="paragraph" w:styleId="16">
    <w:name w:val="Body Text First Indent 2"/>
    <w:basedOn w:val="9"/>
    <w:qFormat/>
    <w:uiPriority w:val="99"/>
    <w:pPr>
      <w:ind w:firstLine="420" w:firstLineChars="20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0">
    <w:name w:val="Strong"/>
    <w:basedOn w:val="19"/>
    <w:qFormat/>
    <w:uiPriority w:val="0"/>
    <w:rPr>
      <w:b/>
    </w:rPr>
  </w:style>
  <w:style w:type="paragraph" w:customStyle="1" w:styleId="21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无间隔1"/>
    <w:basedOn w:val="15"/>
    <w:next w:val="1"/>
    <w:qFormat/>
    <w:uiPriority w:val="0"/>
    <w:pPr>
      <w:spacing w:line="560" w:lineRule="exact"/>
    </w:pPr>
    <w:rPr>
      <w:rFonts w:ascii="Times New Roman" w:hAnsi="Times New Roman" w:eastAsia="宋体" w:cs="Times New Roman"/>
      <w:sz w:val="21"/>
      <w:szCs w:val="22"/>
    </w:rPr>
  </w:style>
  <w:style w:type="paragraph" w:customStyle="1" w:styleId="23">
    <w:name w:val="BodyText1I2"/>
    <w:basedOn w:val="24"/>
    <w:qFormat/>
    <w:uiPriority w:val="0"/>
    <w:pPr>
      <w:spacing w:after="120"/>
      <w:ind w:left="0" w:firstLine="872"/>
      <w:jc w:val="both"/>
      <w:textAlignment w:val="baseline"/>
    </w:pPr>
    <w:rPr>
      <w:rFonts w:ascii="Times New Roman" w:hAnsi="Calibri" w:eastAsia="宋体"/>
      <w:kern w:val="2"/>
      <w:sz w:val="32"/>
      <w:szCs w:val="24"/>
      <w:lang w:val="en-US" w:eastAsia="zh-CN" w:bidi="ar-SA"/>
    </w:rPr>
  </w:style>
  <w:style w:type="paragraph" w:customStyle="1" w:styleId="24">
    <w:name w:val="BodyTextIndent"/>
    <w:basedOn w:val="1"/>
    <w:qFormat/>
    <w:uiPriority w:val="0"/>
    <w:pPr>
      <w:ind w:firstLine="660"/>
      <w:jc w:val="both"/>
      <w:textAlignment w:val="baseline"/>
    </w:pPr>
    <w:rPr>
      <w:rFonts w:ascii="宋体" w:hAnsi="Calibri" w:eastAsia="宋体"/>
      <w:kern w:val="2"/>
      <w:sz w:val="32"/>
      <w:szCs w:val="24"/>
      <w:lang w:val="en-US" w:eastAsia="zh-CN" w:bidi="ar-SA"/>
    </w:rPr>
  </w:style>
  <w:style w:type="paragraph" w:customStyle="1" w:styleId="25">
    <w:name w:val="图表目录1"/>
    <w:basedOn w:val="1"/>
    <w:next w:val="1"/>
    <w:qFormat/>
    <w:uiPriority w:val="99"/>
    <w:pPr>
      <w:ind w:left="200" w:leftChars="200" w:hanging="200" w:hangingChars="200"/>
    </w:pPr>
  </w:style>
  <w:style w:type="paragraph" w:customStyle="1" w:styleId="26">
    <w:name w:val="实施方案正文"/>
    <w:basedOn w:val="1"/>
    <w:qFormat/>
    <w:uiPriority w:val="0"/>
    <w:pPr>
      <w:ind w:firstLine="566" w:firstLineChars="202"/>
    </w:pPr>
    <w:rPr>
      <w:rFonts w:ascii="Times New Roman" w:hAnsi="Times New Roman" w:eastAsia="宋体" w:cs="Times New Roman"/>
      <w:szCs w:val="20"/>
    </w:rPr>
  </w:style>
  <w:style w:type="character" w:customStyle="1" w:styleId="27">
    <w:name w:val="font9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28">
    <w:name w:val="font1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9">
    <w:name w:val="font0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81"/>
    <w:basedOn w:val="1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1">
    <w:name w:val="font2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font5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4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71"/>
    <w:basedOn w:val="1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36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37">
    <w:name w:val="公文正文"/>
    <w:basedOn w:val="1"/>
    <w:qFormat/>
    <w:uiPriority w:val="0"/>
    <w:pPr>
      <w:spacing w:line="58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38">
    <w:name w:val="NormalIndent"/>
    <w:basedOn w:val="1"/>
    <w:next w:val="1"/>
    <w:qFormat/>
    <w:uiPriority w:val="0"/>
    <w:pPr>
      <w:ind w:firstLine="420" w:firstLineChars="200"/>
      <w:textAlignment w:val="baseline"/>
    </w:pPr>
  </w:style>
  <w:style w:type="paragraph" w:customStyle="1" w:styleId="39">
    <w:name w:val="正文文本 (2)"/>
    <w:basedOn w:val="1"/>
    <w:qFormat/>
    <w:uiPriority w:val="0"/>
    <w:pPr>
      <w:keepNext w:val="0"/>
      <w:keepLines w:val="0"/>
      <w:widowControl w:val="0"/>
      <w:suppressLineNumbers w:val="0"/>
      <w:shd w:val="clear" w:color="auto" w:fill="FFFFFF"/>
      <w:spacing w:before="480" w:beforeAutospacing="0" w:after="0" w:afterAutospacing="0" w:line="323" w:lineRule="exact"/>
      <w:ind w:left="0" w:right="0"/>
      <w:jc w:val="left"/>
    </w:pPr>
    <w:rPr>
      <w:rFonts w:hint="eastAsia" w:ascii="MingLiU" w:hAnsi="MingLiU" w:eastAsia="MingLiU" w:cs="MingLiU"/>
      <w:spacing w:val="10"/>
      <w:kern w:val="2"/>
      <w:sz w:val="15"/>
      <w:szCs w:val="15"/>
      <w:lang w:val="en-US" w:eastAsia="zh-CN" w:bidi="ar"/>
    </w:rPr>
  </w:style>
  <w:style w:type="character" w:customStyle="1" w:styleId="40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UserStyle_5"/>
    <w:basedOn w:val="1"/>
    <w:qFormat/>
    <w:uiPriority w:val="0"/>
    <w:pPr>
      <w:ind w:firstLine="566" w:firstLineChars="202"/>
      <w:jc w:val="both"/>
      <w:textAlignment w:val="baseline"/>
    </w:pPr>
    <w:rPr>
      <w:rFonts w:ascii="Calibri" w:hAnsi="Calibri" w:eastAsia="宋体"/>
      <w:kern w:val="2"/>
      <w:sz w:val="21"/>
      <w:szCs w:val="20"/>
      <w:lang w:val="en-US" w:eastAsia="zh-CN" w:bidi="ar-SA"/>
    </w:rPr>
  </w:style>
  <w:style w:type="paragraph" w:customStyle="1" w:styleId="42">
    <w:name w:val="UserStyle_0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43">
    <w:name w:val="BodyText"/>
    <w:basedOn w:val="1"/>
    <w:next w:val="44"/>
    <w:qFormat/>
    <w:uiPriority w:val="0"/>
    <w:pPr>
      <w:spacing w:after="120"/>
      <w:jc w:val="both"/>
      <w:textAlignment w:val="baseline"/>
    </w:pPr>
    <w:rPr>
      <w:rFonts w:ascii="Calibri" w:hAnsi="Calibri" w:eastAsia="仿宋_GB2312"/>
      <w:kern w:val="2"/>
      <w:sz w:val="32"/>
      <w:szCs w:val="20"/>
      <w:lang w:val="en-US" w:eastAsia="zh-CN" w:bidi="ar-SA"/>
    </w:rPr>
  </w:style>
  <w:style w:type="paragraph" w:customStyle="1" w:styleId="44">
    <w:name w:val="TOC5"/>
    <w:basedOn w:val="1"/>
    <w:next w:val="1"/>
    <w:qFormat/>
    <w:uiPriority w:val="0"/>
    <w:pPr>
      <w:ind w:left="1680"/>
      <w:jc w:val="both"/>
      <w:textAlignment w:val="baseline"/>
    </w:pPr>
  </w:style>
  <w:style w:type="character" w:customStyle="1" w:styleId="45">
    <w:name w:val="UserStyle_1"/>
    <w:basedOn w:val="40"/>
    <w:link w:val="1"/>
    <w:qFormat/>
    <w:uiPriority w:val="0"/>
    <w:rPr>
      <w:rFonts w:ascii="方正仿宋_GBK" w:hAnsi="方正仿宋_GBK" w:eastAsia="方正仿宋_GBK"/>
      <w:b/>
      <w:color w:val="000000"/>
      <w:sz w:val="28"/>
      <w:szCs w:val="28"/>
    </w:rPr>
  </w:style>
  <w:style w:type="character" w:customStyle="1" w:styleId="46">
    <w:name w:val="UserStyle_3"/>
    <w:basedOn w:val="40"/>
    <w:link w:val="1"/>
    <w:qFormat/>
    <w:uiPriority w:val="0"/>
    <w:rPr>
      <w:rFonts w:ascii="方正仿宋_GBK" w:hAnsi="方正仿宋_GBK" w:eastAsia="方正仿宋_GBK"/>
      <w:color w:val="000000"/>
      <w:sz w:val="28"/>
      <w:szCs w:val="28"/>
    </w:rPr>
  </w:style>
  <w:style w:type="paragraph" w:customStyle="1" w:styleId="47">
    <w:name w:val="UserStyle_4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48">
    <w:name w:val="Heading2"/>
    <w:basedOn w:val="1"/>
    <w:next w:val="1"/>
    <w:qFormat/>
    <w:uiPriority w:val="0"/>
    <w:pPr>
      <w:keepNext/>
      <w:keepLines/>
      <w:spacing w:line="413" w:lineRule="auto"/>
      <w:jc w:val="both"/>
      <w:textAlignment w:val="baseline"/>
    </w:pPr>
    <w:rPr>
      <w:rFonts w:ascii="Arial" w:hAnsi="Arial" w:eastAsia="黑体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7953</Words>
  <Characters>8280</Characters>
  <Lines>0</Lines>
  <Paragraphs>447</Paragraphs>
  <TotalTime>14</TotalTime>
  <ScaleCrop>false</ScaleCrop>
  <LinksUpToDate>false</LinksUpToDate>
  <CharactersWithSpaces>8760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2022-05-06T02:12:00Z</dcterms:created>
  <dc:creator>联想</dc:creator>
  <cp:lastModifiedBy>LCF</cp:lastModifiedBy>
  <cp:lastPrinted>2022-11-30T03:50:00Z</cp:lastPrinted>
  <dcterms:modified xsi:type="dcterms:W3CDTF">2022-11-30T07:23:51Z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CB4BD9F4CE0E4B5CA8F3F58A27E9F9E1</vt:lpwstr>
  </property>
</Properties>
</file>