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beforeAutospacing="0" w:after="0" w:afterAutospacing="0" w:line="3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附件：招聘岗位及条件</w:t>
      </w:r>
    </w:p>
    <w:tbl>
      <w:tblPr>
        <w:tblStyle w:val="4"/>
        <w:tblW w:w="1010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96"/>
        <w:gridCol w:w="1995"/>
        <w:gridCol w:w="231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72" w:type="dxa"/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eastAsia="zh-CN"/>
              </w:rPr>
              <w:t>划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50名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学历及其他要求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pStyle w:val="3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A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学历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、全科医学、精神医学、临床营养学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全科医学、精神医学、临床营养学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3个专业各限招1名；临床医学专业县一院3、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县中医院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县妇保院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影像诊断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医学影像学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1、县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妇保院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麻醉学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A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麻醉学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1、县妇保院1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预防医学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预防医学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影像技术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A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医学影像技术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县一院1、县一院医共体壶山院区1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医学检验A 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医学检验、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医学检验学、医学检验技术、医学实验技术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县一院1、县中医院1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中药学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中药学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县中医院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药学A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 w:bidi="ar"/>
              </w:rPr>
              <w:t>临床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 w:bidi="ar"/>
              </w:rPr>
              <w:t>药学、药学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针灸推拿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针灸推拿、针灸推拿学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口腔医学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口腔医学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县口腔医院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中医学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A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中医学、中西医结合、中西医结合临床、中西医临床医学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县中医院4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中医学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B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具有执业医师资格的全日制普通高校本科及以上学历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县一院1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B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具有执业医师资格的全日制普通高校大专及以上学历；其中麻醉学专业执业范围为麻醉学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临床医学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、县二院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麻醉学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B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麻醉学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县二院2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C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全日制普通高校大专及以上学历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临床医学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桃溪1、坦洪1、西联1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药学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B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药学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县一院医共体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桃溪院区1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医学检验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B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医学检验、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医学检验学、医学检验技术、医学实验技术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县中医院医共体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王宅院区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影像技术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B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 w:bidi="ar"/>
              </w:rPr>
              <w:t>医学影像技术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县一院医共体熟溪院区1、县中医院医共体王宅院区1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护理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执业护士资格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的全日制普通高校大专及以上学历或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本县户籍具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执业护士资格的大专及以上学历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bidi="ar"/>
              </w:rPr>
              <w:t>护理、助产、护理学、助产学</w:t>
            </w:r>
          </w:p>
        </w:tc>
        <w:tc>
          <w:tcPr>
            <w:tcW w:w="343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县二院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3、县一院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医共体桐琴院区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1，泉溪院区1，大溪口院区1；县中医院医共体王宅院区1，茭道院区1</w:t>
            </w:r>
          </w:p>
        </w:tc>
      </w:tr>
    </w:tbl>
    <w:p>
      <w:pPr>
        <w:tabs>
          <w:tab w:val="left" w:pos="2089"/>
        </w:tabs>
        <w:spacing w:line="540" w:lineRule="exact"/>
        <w:jc w:val="left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ab/>
      </w:r>
    </w:p>
    <w:p>
      <w:bookmarkStart w:id="0" w:name="_GoBack"/>
      <w:bookmarkEnd w:id="0"/>
    </w:p>
    <w:sectPr>
      <w:footerReference r:id="rId3" w:type="default"/>
      <w:pgSz w:w="11906" w:h="16838"/>
      <w:pgMar w:top="1247" w:right="1418" w:bottom="68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Dk3N2I0ZjFjZTU4YWJjMTk3MmZjODYwYzZiMDkifQ=="/>
  </w:docVars>
  <w:rsids>
    <w:rsidRoot w:val="00000000"/>
    <w:rsid w:val="11E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2022-06-02T07:08:41Z</dcterms:created>
  <dc:creator>Administrator</dc:creator>
  <cp:lastModifiedBy>Administrator</cp:lastModifiedBy>
  <dcterms:modified xsi:type="dcterms:W3CDTF">2022-06-02T07:09:24Z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115BFE63C4464084A02D10F83CA109A1</vt:lpwstr>
  </property>
</Properties>
</file>