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读《山东第一医科大学（山东省医学科学院）202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华文仿宋" w:eastAsia="仿宋_GB2312" w:cs="仿宋_GB2312"/>
          <w:sz w:val="32"/>
          <w:szCs w:val="32"/>
        </w:rPr>
        <w:t>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>雷同试卷认定和处理的相关规定，若有违反，愿按相关规定接受处理。本人保证及时主动关注山东第一医科大学（山东省医学科学院）官网和“人事招聘管理信息系统”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2022年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3ADB0815"/>
    <w:rsid w:val="408C240F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朱国庆</cp:lastModifiedBy>
  <dcterms:modified xsi:type="dcterms:W3CDTF">2022-03-17T08:06:49Z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B030BF5AB5564BBEB1DAC82218BD0422</vt:lpwstr>
  </property>
</Properties>
</file>