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atLeast"/>
        <w:jc w:val="left"/>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附件1</w:t>
      </w:r>
    </w:p>
    <w:tbl>
      <w:tblPr>
        <w:tblStyle w:val="4"/>
        <w:tblW w:w="14049" w:type="dxa"/>
        <w:tblInd w:w="93" w:type="dxa"/>
        <w:tblLayout w:type="fixed"/>
        <w:tblCellMar>
          <w:top w:w="0" w:type="dxa"/>
          <w:left w:w="108" w:type="dxa"/>
          <w:bottom w:w="0" w:type="dxa"/>
          <w:right w:w="108" w:type="dxa"/>
        </w:tblCellMar>
      </w:tblPr>
      <w:tblGrid>
        <w:gridCol w:w="1291"/>
        <w:gridCol w:w="1134"/>
        <w:gridCol w:w="709"/>
        <w:gridCol w:w="3685"/>
        <w:gridCol w:w="2410"/>
        <w:gridCol w:w="4820"/>
      </w:tblGrid>
      <w:tr>
        <w:tblPrEx>
          <w:tblCellMar>
            <w:top w:w="0" w:type="dxa"/>
            <w:left w:w="108" w:type="dxa"/>
            <w:bottom w:w="0" w:type="dxa"/>
            <w:right w:w="108" w:type="dxa"/>
          </w:tblCellMar>
        </w:tblPrEx>
        <w:trPr>
          <w:trHeight w:val="624" w:hRule="atLeast"/>
        </w:trPr>
        <w:tc>
          <w:tcPr>
            <w:tcW w:w="14049" w:type="dxa"/>
            <w:gridSpan w:val="6"/>
            <w:vMerge w:val="restart"/>
            <w:tcBorders>
              <w:top w:val="nil"/>
              <w:left w:val="nil"/>
              <w:bottom w:val="single" w:color="000000" w:sz="4" w:space="0"/>
              <w:right w:val="nil"/>
            </w:tcBorders>
            <w:shd w:val="clear" w:color="auto" w:fill="auto"/>
            <w:vAlign w:val="center"/>
          </w:tcPr>
          <w:p>
            <w:pPr>
              <w:pStyle w:val="8"/>
              <w:widowControl/>
              <w:tabs>
                <w:tab w:val="left" w:pos="420"/>
              </w:tabs>
              <w:spacing w:line="520" w:lineRule="exact"/>
              <w:ind w:left="420" w:firstLine="0" w:firstLineChars="0"/>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成都市</w:t>
            </w:r>
            <w:r>
              <w:rPr>
                <w:rFonts w:hint="eastAsia" w:ascii="Times New Roman" w:hAnsi="Times New Roman" w:eastAsia="方正小标宋简体" w:cs="Times New Roman"/>
                <w:bCs/>
                <w:kern w:val="0"/>
                <w:sz w:val="44"/>
                <w:szCs w:val="44"/>
              </w:rPr>
              <w:t>新津区卫健系统2021年赴高校公开招聘专业技术人才岗位表</w:t>
            </w:r>
          </w:p>
          <w:p>
            <w:pPr>
              <w:widowControl/>
              <w:jc w:val="center"/>
              <w:rPr>
                <w:rFonts w:ascii="方正小标宋简体" w:hAnsi="宋体" w:eastAsia="方正小标宋简体" w:cs="宋体"/>
                <w:sz w:val="36"/>
                <w:szCs w:val="36"/>
              </w:rPr>
            </w:pPr>
          </w:p>
        </w:tc>
      </w:tr>
      <w:tr>
        <w:tblPrEx>
          <w:tblCellMar>
            <w:top w:w="0" w:type="dxa"/>
            <w:left w:w="108" w:type="dxa"/>
            <w:bottom w:w="0" w:type="dxa"/>
            <w:right w:w="108" w:type="dxa"/>
          </w:tblCellMar>
        </w:tblPrEx>
        <w:trPr>
          <w:trHeight w:val="624" w:hRule="atLeast"/>
        </w:trPr>
        <w:tc>
          <w:tcPr>
            <w:tcW w:w="14049" w:type="dxa"/>
            <w:gridSpan w:val="6"/>
            <w:vMerge w:val="continue"/>
            <w:tcBorders>
              <w:top w:val="nil"/>
              <w:left w:val="nil"/>
              <w:bottom w:val="single" w:color="000000" w:sz="4" w:space="0"/>
              <w:right w:val="nil"/>
            </w:tcBorders>
            <w:vAlign w:val="center"/>
          </w:tcPr>
          <w:p>
            <w:pPr>
              <w:widowControl/>
              <w:rPr>
                <w:rFonts w:ascii="方正小标宋简体" w:hAnsi="宋体" w:eastAsia="方正小标宋简体" w:cs="宋体"/>
                <w:sz w:val="36"/>
                <w:szCs w:val="36"/>
              </w:rPr>
            </w:pPr>
          </w:p>
        </w:tc>
      </w:tr>
      <w:tr>
        <w:tblPrEx>
          <w:tblCellMar>
            <w:top w:w="0" w:type="dxa"/>
            <w:left w:w="108" w:type="dxa"/>
            <w:bottom w:w="0" w:type="dxa"/>
            <w:right w:w="108" w:type="dxa"/>
          </w:tblCellMar>
        </w:tblPrEx>
        <w:trPr>
          <w:trHeight w:val="520"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招聘单位</w:t>
            </w:r>
          </w:p>
        </w:tc>
        <w:tc>
          <w:tcPr>
            <w:tcW w:w="113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招聘岗位</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需求数量</w:t>
            </w:r>
          </w:p>
        </w:tc>
        <w:tc>
          <w:tcPr>
            <w:tcW w:w="109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岗位条件</w:t>
            </w:r>
          </w:p>
        </w:tc>
      </w:tr>
      <w:tr>
        <w:tblPrEx>
          <w:tblCellMar>
            <w:top w:w="0" w:type="dxa"/>
            <w:left w:w="108" w:type="dxa"/>
            <w:bottom w:w="0" w:type="dxa"/>
            <w:right w:w="108" w:type="dxa"/>
          </w:tblCellMar>
        </w:tblPrEx>
        <w:trPr>
          <w:trHeight w:val="312"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b/>
                <w:bCs/>
                <w:sz w:val="20"/>
                <w:szCs w:val="20"/>
              </w:rPr>
            </w:pPr>
          </w:p>
        </w:tc>
        <w:tc>
          <w:tcPr>
            <w:tcW w:w="1134" w:type="dxa"/>
            <w:vMerge w:val="continue"/>
            <w:tcBorders>
              <w:top w:val="nil"/>
              <w:left w:val="single" w:color="auto" w:sz="4" w:space="0"/>
              <w:bottom w:val="nil"/>
              <w:right w:val="single" w:color="auto" w:sz="4" w:space="0"/>
            </w:tcBorders>
            <w:vAlign w:val="center"/>
          </w:tcPr>
          <w:p>
            <w:pPr>
              <w:widowControl/>
              <w:rPr>
                <w:rFonts w:ascii="宋体" w:hAnsi="宋体" w:eastAsia="宋体" w:cs="宋体"/>
                <w:b/>
                <w:bCs/>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b/>
                <w:bCs/>
                <w:sz w:val="20"/>
                <w:szCs w:val="20"/>
              </w:rPr>
            </w:pPr>
          </w:p>
        </w:tc>
        <w:tc>
          <w:tcPr>
            <w:tcW w:w="36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专业</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学历</w:t>
            </w:r>
          </w:p>
        </w:tc>
        <w:tc>
          <w:tcPr>
            <w:tcW w:w="4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其他条件</w:t>
            </w:r>
          </w:p>
        </w:tc>
      </w:tr>
      <w:tr>
        <w:tblPrEx>
          <w:tblCellMar>
            <w:top w:w="0" w:type="dxa"/>
            <w:left w:w="108" w:type="dxa"/>
            <w:bottom w:w="0" w:type="dxa"/>
            <w:right w:w="108" w:type="dxa"/>
          </w:tblCellMar>
        </w:tblPrEx>
        <w:trPr>
          <w:trHeight w:val="312"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b/>
                <w:bCs/>
                <w:sz w:val="20"/>
                <w:szCs w:val="20"/>
              </w:rPr>
            </w:pPr>
          </w:p>
        </w:tc>
        <w:tc>
          <w:tcPr>
            <w:tcW w:w="1134" w:type="dxa"/>
            <w:vMerge w:val="continue"/>
            <w:tcBorders>
              <w:top w:val="nil"/>
              <w:left w:val="single" w:color="auto" w:sz="4" w:space="0"/>
              <w:bottom w:val="nil"/>
              <w:right w:val="single" w:color="auto" w:sz="4" w:space="0"/>
            </w:tcBorders>
            <w:vAlign w:val="center"/>
          </w:tcPr>
          <w:p>
            <w:pPr>
              <w:widowControl/>
              <w:rPr>
                <w:rFonts w:ascii="宋体" w:hAnsi="宋体" w:eastAsia="宋体" w:cs="宋体"/>
                <w:b/>
                <w:bCs/>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b/>
                <w:bCs/>
                <w:sz w:val="20"/>
                <w:szCs w:val="20"/>
              </w:rPr>
            </w:pPr>
          </w:p>
        </w:tc>
        <w:tc>
          <w:tcPr>
            <w:tcW w:w="3685" w:type="dxa"/>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b/>
                <w:bCs/>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b/>
                <w:bCs/>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b/>
                <w:bCs/>
                <w:sz w:val="20"/>
                <w:szCs w:val="20"/>
              </w:rPr>
            </w:pPr>
          </w:p>
        </w:tc>
      </w:tr>
      <w:tr>
        <w:tblPrEx>
          <w:tblCellMar>
            <w:top w:w="0" w:type="dxa"/>
            <w:left w:w="108" w:type="dxa"/>
            <w:bottom w:w="0" w:type="dxa"/>
            <w:right w:w="108" w:type="dxa"/>
          </w:tblCellMar>
        </w:tblPrEx>
        <w:trPr>
          <w:trHeight w:val="891" w:hRule="atLeast"/>
        </w:trPr>
        <w:tc>
          <w:tcPr>
            <w:tcW w:w="129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b/>
                <w:bCs/>
                <w:color w:val="000000"/>
                <w:sz w:val="20"/>
                <w:szCs w:val="20"/>
              </w:rPr>
              <w:t>区人民医院</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急诊科医师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本科：临床医学（100201K）；</w:t>
            </w:r>
          </w:p>
          <w:p>
            <w:pPr>
              <w:widowControl/>
              <w:rPr>
                <w:rFonts w:ascii="仿宋_GB2312" w:hAnsi="宋体" w:eastAsia="仿宋_GB2312" w:cs="宋体"/>
                <w:color w:val="000000"/>
                <w:sz w:val="18"/>
                <w:szCs w:val="18"/>
              </w:rPr>
            </w:pPr>
            <w:r>
              <w:rPr>
                <w:rFonts w:hint="eastAsia" w:ascii="仿宋_GB2312" w:eastAsia="仿宋_GB2312"/>
                <w:color w:val="000000"/>
                <w:sz w:val="18"/>
                <w:szCs w:val="18"/>
              </w:rPr>
              <w:t>研究生：急诊医学（100218）</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具有省级及以上卫生健康行政部门颁发的急救医学专业住院医师规培合格证</w:t>
            </w:r>
          </w:p>
        </w:tc>
      </w:tr>
      <w:tr>
        <w:tblPrEx>
          <w:tblCellMar>
            <w:top w:w="0" w:type="dxa"/>
            <w:left w:w="108" w:type="dxa"/>
            <w:bottom w:w="0" w:type="dxa"/>
            <w:right w:w="108" w:type="dxa"/>
          </w:tblCellMar>
        </w:tblPrEx>
        <w:trPr>
          <w:trHeight w:val="1117" w:hRule="atLeast"/>
        </w:trPr>
        <w:tc>
          <w:tcPr>
            <w:tcW w:w="1291" w:type="dxa"/>
            <w:vMerge w:val="continue"/>
            <w:tcBorders>
              <w:top w:val="single" w:color="auto" w:sz="4" w:space="0"/>
              <w:left w:val="single" w:color="auto" w:sz="4" w:space="0"/>
              <w:bottom w:val="nil"/>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重症科医师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本科：临床医学（100201K）；</w:t>
            </w:r>
          </w:p>
          <w:p>
            <w:pPr>
              <w:widowControl/>
              <w:rPr>
                <w:rFonts w:ascii="仿宋_GB2312" w:hAnsi="宋体" w:eastAsia="仿宋_GB2312" w:cs="宋体"/>
                <w:color w:val="000000"/>
                <w:sz w:val="18"/>
                <w:szCs w:val="18"/>
              </w:rPr>
            </w:pPr>
            <w:r>
              <w:rPr>
                <w:rFonts w:hint="eastAsia" w:ascii="仿宋_GB2312" w:eastAsia="仿宋_GB2312"/>
                <w:color w:val="000000"/>
                <w:sz w:val="18"/>
                <w:szCs w:val="18"/>
              </w:rPr>
              <w:t>研究生：内科学（100201）、外科学（100210）、急诊医学（100218）</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具有省级及以上卫生健康行政部门颁发的重症医学专业住院医师规培合格证</w:t>
            </w:r>
          </w:p>
        </w:tc>
      </w:tr>
      <w:tr>
        <w:tblPrEx>
          <w:tblCellMar>
            <w:top w:w="0" w:type="dxa"/>
            <w:left w:w="108" w:type="dxa"/>
            <w:bottom w:w="0" w:type="dxa"/>
            <w:right w:w="108" w:type="dxa"/>
          </w:tblCellMar>
        </w:tblPrEx>
        <w:trPr>
          <w:trHeight w:val="850" w:hRule="atLeast"/>
        </w:trPr>
        <w:tc>
          <w:tcPr>
            <w:tcW w:w="1291" w:type="dxa"/>
            <w:vMerge w:val="continue"/>
            <w:tcBorders>
              <w:top w:val="single" w:color="auto" w:sz="4" w:space="0"/>
              <w:left w:val="single" w:color="auto" w:sz="4" w:space="0"/>
              <w:bottom w:val="nil"/>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儿科医师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本科：临床医学（100201K）；</w:t>
            </w:r>
          </w:p>
          <w:p>
            <w:pPr>
              <w:widowControl/>
              <w:rPr>
                <w:rFonts w:ascii="仿宋_GB2312" w:hAnsi="宋体" w:eastAsia="仿宋_GB2312" w:cs="宋体"/>
                <w:color w:val="000000"/>
                <w:sz w:val="18"/>
                <w:szCs w:val="18"/>
              </w:rPr>
            </w:pPr>
            <w:r>
              <w:rPr>
                <w:rFonts w:hint="eastAsia" w:ascii="仿宋_GB2312" w:eastAsia="仿宋_GB2312"/>
                <w:color w:val="000000"/>
                <w:sz w:val="18"/>
                <w:szCs w:val="18"/>
              </w:rPr>
              <w:t>研究生：儿科学（100202）</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具有省级及以上卫生健康行政部门颁发的儿科专业住院医师规培合格证</w:t>
            </w:r>
          </w:p>
        </w:tc>
      </w:tr>
      <w:tr>
        <w:tblPrEx>
          <w:tblCellMar>
            <w:top w:w="0" w:type="dxa"/>
            <w:left w:w="108" w:type="dxa"/>
            <w:bottom w:w="0" w:type="dxa"/>
            <w:right w:w="108" w:type="dxa"/>
          </w:tblCellMar>
        </w:tblPrEx>
        <w:trPr>
          <w:trHeight w:val="1273" w:hRule="atLeast"/>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医学影像</w:t>
            </w:r>
          </w:p>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本科：医学影像学（100203TK）、临床医学（100201K）；</w:t>
            </w:r>
          </w:p>
          <w:p>
            <w:pPr>
              <w:widowControl/>
              <w:rPr>
                <w:rFonts w:ascii="仿宋_GB2312" w:hAnsi="宋体" w:eastAsia="仿宋_GB2312" w:cs="宋体"/>
                <w:color w:val="000000"/>
                <w:sz w:val="18"/>
                <w:szCs w:val="18"/>
              </w:rPr>
            </w:pPr>
            <w:r>
              <w:rPr>
                <w:rFonts w:hint="eastAsia" w:ascii="仿宋_GB2312" w:eastAsia="仿宋_GB2312"/>
                <w:color w:val="000000"/>
                <w:sz w:val="18"/>
                <w:szCs w:val="18"/>
              </w:rPr>
              <w:t>研究生：影像医学与核医学（100207）</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sz w:val="18"/>
                <w:szCs w:val="18"/>
              </w:rPr>
            </w:pPr>
            <w:r>
              <w:rPr>
                <w:rFonts w:hint="eastAsia" w:ascii="仿宋_GB2312" w:eastAsia="仿宋_GB2312"/>
                <w:color w:val="000000"/>
                <w:sz w:val="18"/>
                <w:szCs w:val="18"/>
              </w:rPr>
              <w:t>具有省级及以上卫生健康行政部门颁发的医学影像学类专业住院医师规培合格证</w:t>
            </w:r>
          </w:p>
        </w:tc>
      </w:tr>
      <w:tr>
        <w:tblPrEx>
          <w:tblCellMar>
            <w:top w:w="0" w:type="dxa"/>
            <w:left w:w="108" w:type="dxa"/>
            <w:bottom w:w="0" w:type="dxa"/>
            <w:right w:w="108" w:type="dxa"/>
          </w:tblCellMar>
        </w:tblPrEx>
        <w:trPr>
          <w:trHeight w:val="838" w:hRule="atLeast"/>
        </w:trPr>
        <w:tc>
          <w:tcPr>
            <w:tcW w:w="129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区中医医院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中药制剂师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本科：中药学（100801）</w:t>
            </w:r>
          </w:p>
          <w:p>
            <w:pPr>
              <w:widowControl/>
              <w:rPr>
                <w:rFonts w:ascii="仿宋_GB2312" w:eastAsia="仿宋_GB2312"/>
                <w:color w:val="000000"/>
                <w:sz w:val="18"/>
                <w:szCs w:val="18"/>
              </w:rPr>
            </w:pPr>
            <w:r>
              <w:rPr>
                <w:rFonts w:hint="eastAsia" w:ascii="仿宋_GB2312" w:eastAsia="仿宋_GB2312"/>
                <w:color w:val="000000"/>
                <w:sz w:val="18"/>
                <w:szCs w:val="18"/>
              </w:rPr>
              <w:t>研究生：中药学（100800）</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p>
        </w:tc>
      </w:tr>
      <w:tr>
        <w:tblPrEx>
          <w:tblCellMar>
            <w:top w:w="0" w:type="dxa"/>
            <w:left w:w="108" w:type="dxa"/>
            <w:bottom w:w="0" w:type="dxa"/>
            <w:right w:w="108" w:type="dxa"/>
          </w:tblCellMar>
        </w:tblPrEx>
        <w:trPr>
          <w:trHeight w:val="550" w:hRule="atLeast"/>
        </w:trPr>
        <w:tc>
          <w:tcPr>
            <w:tcW w:w="129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sz w:val="20"/>
                <w:szCs w:val="20"/>
              </w:rPr>
            </w:pPr>
            <w:r>
              <w:rPr>
                <w:rFonts w:hint="eastAsia"/>
                <w:b/>
                <w:bCs/>
                <w:sz w:val="20"/>
                <w:szCs w:val="20"/>
              </w:rPr>
              <w:t>招聘单位</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招聘岗位</w:t>
            </w:r>
          </w:p>
        </w:tc>
        <w:tc>
          <w:tcPr>
            <w:tcW w:w="709"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需求数量</w:t>
            </w:r>
          </w:p>
        </w:tc>
        <w:tc>
          <w:tcPr>
            <w:tcW w:w="109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b/>
                <w:bCs/>
                <w:sz w:val="20"/>
                <w:szCs w:val="20"/>
              </w:rPr>
              <w:t>岗位条件</w:t>
            </w:r>
          </w:p>
        </w:tc>
      </w:tr>
      <w:tr>
        <w:tblPrEx>
          <w:tblCellMar>
            <w:top w:w="0" w:type="dxa"/>
            <w:left w:w="108" w:type="dxa"/>
            <w:bottom w:w="0" w:type="dxa"/>
            <w:right w:w="108" w:type="dxa"/>
          </w:tblCellMar>
        </w:tblPrEx>
        <w:trPr>
          <w:trHeight w:val="430" w:hRule="atLeast"/>
        </w:trPr>
        <w:tc>
          <w:tcPr>
            <w:tcW w:w="1291"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sz w:val="20"/>
                <w:szCs w:val="20"/>
              </w:rPr>
            </w:pPr>
          </w:p>
        </w:tc>
        <w:tc>
          <w:tcPr>
            <w:tcW w:w="1134" w:type="dxa"/>
            <w:vMerge w:val="continue"/>
            <w:tcBorders>
              <w:left w:val="nil"/>
              <w:bottom w:val="single" w:color="auto" w:sz="4" w:space="0"/>
              <w:right w:val="single" w:color="auto" w:sz="4" w:space="0"/>
            </w:tcBorders>
            <w:shd w:val="clear" w:color="auto" w:fill="auto"/>
            <w:vAlign w:val="center"/>
          </w:tcPr>
          <w:p>
            <w:pPr>
              <w:widowControl/>
              <w:rPr>
                <w:rFonts w:ascii="宋体" w:hAnsi="宋体" w:eastAsia="宋体" w:cs="宋体"/>
                <w:b/>
                <w:bCs/>
                <w:sz w:val="20"/>
                <w:szCs w:val="20"/>
              </w:rPr>
            </w:pPr>
          </w:p>
        </w:tc>
        <w:tc>
          <w:tcPr>
            <w:tcW w:w="709" w:type="dxa"/>
            <w:vMerge w:val="continue"/>
            <w:tcBorders>
              <w:left w:val="nil"/>
              <w:bottom w:val="single" w:color="auto" w:sz="4" w:space="0"/>
              <w:right w:val="single" w:color="auto" w:sz="4" w:space="0"/>
            </w:tcBorders>
            <w:shd w:val="clear" w:color="auto" w:fill="auto"/>
            <w:vAlign w:val="center"/>
          </w:tcPr>
          <w:p>
            <w:pPr>
              <w:widowControl/>
              <w:rPr>
                <w:rFonts w:ascii="宋体" w:hAnsi="宋体" w:eastAsia="宋体" w:cs="宋体"/>
                <w:b/>
                <w:bCs/>
                <w:sz w:val="20"/>
                <w:szCs w:val="20"/>
              </w:rPr>
            </w:pPr>
          </w:p>
        </w:tc>
        <w:tc>
          <w:tcPr>
            <w:tcW w:w="36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专业</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学历</w:t>
            </w:r>
          </w:p>
        </w:tc>
        <w:tc>
          <w:tcPr>
            <w:tcW w:w="4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0"/>
                <w:szCs w:val="20"/>
              </w:rPr>
            </w:pPr>
            <w:r>
              <w:rPr>
                <w:rFonts w:hint="eastAsia"/>
                <w:b/>
                <w:bCs/>
                <w:sz w:val="20"/>
                <w:szCs w:val="20"/>
              </w:rPr>
              <w:t>其他条件</w:t>
            </w:r>
          </w:p>
        </w:tc>
      </w:tr>
      <w:tr>
        <w:tblPrEx>
          <w:tblCellMar>
            <w:top w:w="0" w:type="dxa"/>
            <w:left w:w="108" w:type="dxa"/>
            <w:bottom w:w="0" w:type="dxa"/>
            <w:right w:w="108" w:type="dxa"/>
          </w:tblCellMar>
        </w:tblPrEx>
        <w:trPr>
          <w:trHeight w:val="960" w:hRule="atLeast"/>
        </w:trPr>
        <w:tc>
          <w:tcPr>
            <w:tcW w:w="1291" w:type="dxa"/>
            <w:vMerge w:val="restart"/>
            <w:tcBorders>
              <w:top w:val="single" w:color="auto" w:sz="4" w:space="0"/>
              <w:left w:val="single" w:color="auto" w:sz="4" w:space="0"/>
              <w:right w:val="single" w:color="auto" w:sz="4" w:space="0"/>
            </w:tcBorders>
            <w:vAlign w:val="center"/>
          </w:tcPr>
          <w:p>
            <w:pPr>
              <w:widowControl/>
              <w:rPr>
                <w:rFonts w:ascii="宋体" w:hAnsi="宋体" w:eastAsia="宋体" w:cs="宋体"/>
                <w:b/>
                <w:bCs/>
                <w:color w:val="000000"/>
                <w:sz w:val="20"/>
                <w:szCs w:val="20"/>
              </w:rPr>
            </w:pPr>
            <w:r>
              <w:rPr>
                <w:rFonts w:hint="eastAsia" w:ascii="宋体" w:hAnsi="宋体" w:eastAsia="宋体" w:cs="宋体"/>
                <w:b/>
                <w:bCs/>
                <w:color w:val="000000"/>
                <w:sz w:val="20"/>
                <w:szCs w:val="20"/>
              </w:rPr>
              <w:t>区妇幼保健计划生育服务中心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口腔医师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本科：口腔医学100301K</w:t>
            </w:r>
          </w:p>
          <w:p>
            <w:pPr>
              <w:widowControl/>
              <w:rPr>
                <w:rFonts w:ascii="仿宋_GB2312" w:eastAsia="仿宋_GB2312"/>
                <w:color w:val="000000"/>
                <w:sz w:val="18"/>
                <w:szCs w:val="18"/>
              </w:rPr>
            </w:pPr>
            <w:r>
              <w:rPr>
                <w:rFonts w:hint="eastAsia" w:ascii="仿宋_GB2312" w:eastAsia="仿宋_GB2312"/>
                <w:color w:val="000000"/>
                <w:sz w:val="18"/>
                <w:szCs w:val="18"/>
              </w:rPr>
              <w:t>研究生：口腔医学（</w:t>
            </w:r>
            <w:r>
              <w:rPr>
                <w:rFonts w:ascii="仿宋_GB2312" w:eastAsia="仿宋_GB2312"/>
                <w:color w:val="000000"/>
                <w:sz w:val="18"/>
                <w:szCs w:val="18"/>
              </w:rPr>
              <w:t>1003</w:t>
            </w:r>
            <w:r>
              <w:rPr>
                <w:rFonts w:hint="eastAsia" w:ascii="仿宋_GB2312" w:eastAsia="仿宋_GB2312"/>
                <w:color w:val="000000"/>
                <w:sz w:val="18"/>
                <w:szCs w:val="18"/>
              </w:rPr>
              <w:t>）</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具有省级及以上卫生健康行政部门颁发的口腔专业住院医师规培合格证</w:t>
            </w:r>
          </w:p>
        </w:tc>
      </w:tr>
      <w:tr>
        <w:tblPrEx>
          <w:tblCellMar>
            <w:top w:w="0" w:type="dxa"/>
            <w:left w:w="108" w:type="dxa"/>
            <w:bottom w:w="0" w:type="dxa"/>
            <w:right w:w="108" w:type="dxa"/>
          </w:tblCellMar>
        </w:tblPrEx>
        <w:trPr>
          <w:trHeight w:val="960" w:hRule="atLeast"/>
        </w:trPr>
        <w:tc>
          <w:tcPr>
            <w:tcW w:w="1291" w:type="dxa"/>
            <w:vMerge w:val="continue"/>
            <w:tcBorders>
              <w:left w:val="single" w:color="auto" w:sz="4" w:space="0"/>
              <w:bottom w:val="single" w:color="000000" w:sz="4" w:space="0"/>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儿科医师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本科：临床医学（100201K）；</w:t>
            </w:r>
          </w:p>
          <w:p>
            <w:pPr>
              <w:widowControl/>
              <w:rPr>
                <w:rFonts w:ascii="仿宋_GB2312" w:eastAsia="仿宋_GB2312"/>
                <w:color w:val="000000"/>
                <w:sz w:val="18"/>
                <w:szCs w:val="18"/>
              </w:rPr>
            </w:pPr>
            <w:r>
              <w:rPr>
                <w:rFonts w:hint="eastAsia" w:ascii="仿宋_GB2312" w:eastAsia="仿宋_GB2312"/>
                <w:color w:val="000000"/>
                <w:sz w:val="18"/>
                <w:szCs w:val="18"/>
              </w:rPr>
              <w:t>研究生：儿科学（100202）</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具有省级及以上卫生健康行政部门颁发的儿科专业住院医师规培合格证</w:t>
            </w:r>
          </w:p>
        </w:tc>
      </w:tr>
      <w:tr>
        <w:tblPrEx>
          <w:tblCellMar>
            <w:top w:w="0" w:type="dxa"/>
            <w:left w:w="108" w:type="dxa"/>
            <w:bottom w:w="0" w:type="dxa"/>
            <w:right w:w="108" w:type="dxa"/>
          </w:tblCellMar>
        </w:tblPrEx>
        <w:trPr>
          <w:trHeight w:val="76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b/>
                <w:bCs/>
                <w:color w:val="000000"/>
                <w:sz w:val="20"/>
                <w:szCs w:val="20"/>
              </w:rPr>
              <w:t>区第二人民医院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财务人员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jc w:val="left"/>
              <w:rPr>
                <w:rFonts w:ascii="仿宋_GB2312" w:eastAsia="仿宋_GB2312"/>
                <w:color w:val="000000"/>
                <w:sz w:val="18"/>
                <w:szCs w:val="18"/>
              </w:rPr>
            </w:pPr>
            <w:r>
              <w:rPr>
                <w:rFonts w:hint="eastAsia" w:ascii="仿宋_GB2312" w:eastAsia="仿宋_GB2312"/>
                <w:color w:val="000000"/>
                <w:sz w:val="18"/>
                <w:szCs w:val="18"/>
              </w:rPr>
              <w:t>本科：会计学（120203K）；财务管理（120204）研究生：会计学（</w:t>
            </w:r>
            <w:r>
              <w:rPr>
                <w:rFonts w:ascii="仿宋_GB2312" w:eastAsia="仿宋_GB2312"/>
                <w:color w:val="000000"/>
                <w:sz w:val="18"/>
                <w:szCs w:val="18"/>
              </w:rPr>
              <w:t>120201</w:t>
            </w:r>
            <w:r>
              <w:rPr>
                <w:rFonts w:hint="eastAsia" w:ascii="仿宋_GB2312" w:eastAsia="仿宋_GB2312"/>
                <w:color w:val="000000"/>
                <w:sz w:val="18"/>
                <w:szCs w:val="18"/>
              </w:rPr>
              <w:t>）</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350"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sz w:val="20"/>
                <w:szCs w:val="20"/>
              </w:rPr>
            </w:pPr>
            <w:r>
              <w:rPr>
                <w:rFonts w:hint="eastAsia"/>
                <w:b/>
                <w:bCs/>
                <w:color w:val="000000"/>
                <w:sz w:val="20"/>
                <w:szCs w:val="20"/>
              </w:rPr>
              <w:t>区疾病预防控制中心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公卫医师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5</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 xml:space="preserve">本科：预防医学（100401K）       </w:t>
            </w:r>
          </w:p>
          <w:p>
            <w:pPr>
              <w:widowControl/>
              <w:rPr>
                <w:rFonts w:ascii="仿宋_GB2312" w:eastAsia="仿宋_GB2312"/>
                <w:color w:val="000000"/>
                <w:sz w:val="18"/>
                <w:szCs w:val="18"/>
              </w:rPr>
            </w:pPr>
            <w:r>
              <w:rPr>
                <w:rFonts w:hint="eastAsia" w:ascii="仿宋_GB2312" w:eastAsia="仿宋_GB2312"/>
                <w:color w:val="000000"/>
                <w:sz w:val="18"/>
                <w:szCs w:val="18"/>
              </w:rPr>
              <w:t>研究生：公共卫生与预防医学（</w:t>
            </w:r>
            <w:r>
              <w:rPr>
                <w:rFonts w:ascii="仿宋_GB2312" w:eastAsia="仿宋_GB2312"/>
                <w:color w:val="000000"/>
                <w:sz w:val="18"/>
                <w:szCs w:val="18"/>
              </w:rPr>
              <w:t>1004</w:t>
            </w:r>
            <w:r>
              <w:rPr>
                <w:rFonts w:hint="eastAsia" w:ascii="仿宋_GB2312" w:eastAsia="仿宋_GB2312"/>
                <w:color w:val="000000"/>
                <w:sz w:val="18"/>
                <w:szCs w:val="18"/>
              </w:rPr>
              <w:t>）</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研究生的本科专业须为预防医学</w:t>
            </w:r>
          </w:p>
        </w:tc>
      </w:tr>
      <w:tr>
        <w:tblPrEx>
          <w:tblCellMar>
            <w:top w:w="0" w:type="dxa"/>
            <w:left w:w="108" w:type="dxa"/>
            <w:bottom w:w="0" w:type="dxa"/>
            <w:right w:w="108" w:type="dxa"/>
          </w:tblCellMar>
        </w:tblPrEx>
        <w:trPr>
          <w:trHeight w:val="87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检验技师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3</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 xml:space="preserve">本科：卫生检验与检疫（101007）   </w:t>
            </w:r>
          </w:p>
          <w:p>
            <w:pPr>
              <w:widowControl/>
              <w:rPr>
                <w:rFonts w:ascii="仿宋_GB2312" w:eastAsia="仿宋_GB2312"/>
                <w:color w:val="000000"/>
                <w:sz w:val="18"/>
                <w:szCs w:val="18"/>
              </w:rPr>
            </w:pPr>
            <w:r>
              <w:rPr>
                <w:rFonts w:hint="eastAsia" w:ascii="仿宋_GB2312" w:eastAsia="仿宋_GB2312"/>
                <w:color w:val="000000"/>
                <w:sz w:val="18"/>
                <w:szCs w:val="18"/>
              </w:rPr>
              <w:t>研究生：公共卫生与预防医学（</w:t>
            </w:r>
            <w:r>
              <w:rPr>
                <w:rFonts w:ascii="仿宋_GB2312" w:eastAsia="仿宋_GB2312"/>
                <w:color w:val="000000"/>
                <w:sz w:val="18"/>
                <w:szCs w:val="18"/>
              </w:rPr>
              <w:t>1004</w:t>
            </w:r>
            <w:r>
              <w:rPr>
                <w:rFonts w:hint="eastAsia" w:ascii="仿宋_GB2312" w:eastAsia="仿宋_GB2312"/>
                <w:color w:val="000000"/>
                <w:sz w:val="18"/>
                <w:szCs w:val="18"/>
              </w:rPr>
              <w:t>）</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研究生的本科专业须为卫生检验与检疫</w:t>
            </w:r>
          </w:p>
        </w:tc>
      </w:tr>
      <w:tr>
        <w:tblPrEx>
          <w:tblCellMar>
            <w:top w:w="0" w:type="dxa"/>
            <w:left w:w="108" w:type="dxa"/>
            <w:bottom w:w="0" w:type="dxa"/>
            <w:right w:w="108" w:type="dxa"/>
          </w:tblCellMar>
        </w:tblPrEx>
        <w:trPr>
          <w:trHeight w:val="63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财务人员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autoSpaceDE w:val="0"/>
              <w:autoSpaceDN w:val="0"/>
              <w:adjustRightInd w:val="0"/>
              <w:jc w:val="left"/>
              <w:rPr>
                <w:rFonts w:ascii="仿宋_GB2312" w:eastAsia="仿宋_GB2312"/>
                <w:color w:val="000000"/>
                <w:sz w:val="18"/>
                <w:szCs w:val="18"/>
              </w:rPr>
            </w:pPr>
            <w:r>
              <w:rPr>
                <w:rFonts w:hint="eastAsia" w:ascii="仿宋_GB2312" w:eastAsia="仿宋_GB2312"/>
                <w:color w:val="000000"/>
                <w:sz w:val="18"/>
                <w:szCs w:val="18"/>
              </w:rPr>
              <w:t>本科：会计学（120203K）；财务管理（120204）</w:t>
            </w:r>
          </w:p>
          <w:p>
            <w:pPr>
              <w:widowControl/>
              <w:autoSpaceDE w:val="0"/>
              <w:autoSpaceDN w:val="0"/>
              <w:adjustRightInd w:val="0"/>
              <w:jc w:val="left"/>
              <w:rPr>
                <w:rFonts w:ascii="仿宋_GB2312" w:eastAsia="仿宋_GB2312"/>
                <w:color w:val="000000"/>
                <w:sz w:val="18"/>
                <w:szCs w:val="18"/>
              </w:rPr>
            </w:pPr>
            <w:r>
              <w:rPr>
                <w:rFonts w:hint="eastAsia" w:ascii="仿宋_GB2312" w:eastAsia="仿宋_GB2312"/>
                <w:color w:val="000000"/>
                <w:sz w:val="18"/>
                <w:szCs w:val="18"/>
              </w:rPr>
              <w:t>研究生：会计学（</w:t>
            </w:r>
            <w:r>
              <w:rPr>
                <w:rFonts w:ascii="仿宋_GB2312" w:eastAsia="仿宋_GB2312"/>
                <w:color w:val="000000"/>
                <w:sz w:val="18"/>
                <w:szCs w:val="18"/>
              </w:rPr>
              <w:t>120201</w:t>
            </w:r>
            <w:r>
              <w:rPr>
                <w:rFonts w:hint="eastAsia" w:ascii="仿宋_GB2312" w:eastAsia="仿宋_GB2312"/>
                <w:color w:val="000000"/>
                <w:sz w:val="18"/>
                <w:szCs w:val="18"/>
              </w:rPr>
              <w:t>）</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7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b/>
                <w:bCs/>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信息化管理人员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3685"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本科：信息管理与信息系统（120102）、计算机科学与技术（080901）、 数字媒体技术（080906）</w:t>
            </w:r>
          </w:p>
          <w:p>
            <w:pPr>
              <w:widowControl/>
              <w:rPr>
                <w:rFonts w:ascii="仿宋_GB2312" w:eastAsia="仿宋_GB2312"/>
                <w:color w:val="000000"/>
                <w:sz w:val="18"/>
                <w:szCs w:val="18"/>
              </w:rPr>
            </w:pPr>
            <w:r>
              <w:rPr>
                <w:rFonts w:hint="eastAsia" w:ascii="仿宋_GB2312" w:eastAsia="仿宋_GB2312"/>
                <w:color w:val="000000"/>
                <w:sz w:val="18"/>
                <w:szCs w:val="18"/>
              </w:rPr>
              <w:t>研究生：计算机科学与技术（</w:t>
            </w:r>
            <w:r>
              <w:rPr>
                <w:rFonts w:ascii="仿宋_GB2312" w:eastAsia="仿宋_GB2312"/>
                <w:color w:val="000000"/>
                <w:sz w:val="18"/>
                <w:szCs w:val="18"/>
              </w:rPr>
              <w:t>0812</w:t>
            </w:r>
            <w:r>
              <w:rPr>
                <w:rFonts w:hint="eastAsia" w:ascii="仿宋_GB2312" w:eastAsia="仿宋_GB2312"/>
                <w:color w:val="000000"/>
                <w:sz w:val="18"/>
                <w:szCs w:val="18"/>
              </w:rPr>
              <w:t>）</w:t>
            </w:r>
          </w:p>
        </w:tc>
        <w:tc>
          <w:tcPr>
            <w:tcW w:w="241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普通高等教育本科及以上，取得学历相应学位</w:t>
            </w:r>
          </w:p>
        </w:tc>
        <w:tc>
          <w:tcPr>
            <w:tcW w:w="4820" w:type="dxa"/>
            <w:tcBorders>
              <w:top w:val="nil"/>
              <w:left w:val="nil"/>
              <w:bottom w:val="single" w:color="auto" w:sz="4" w:space="0"/>
              <w:right w:val="single" w:color="auto" w:sz="4" w:space="0"/>
            </w:tcBorders>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DA"/>
    <w:rsid w:val="00451ECC"/>
    <w:rsid w:val="00864BDA"/>
    <w:rsid w:val="2C08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193</Words>
  <Characters>1101</Characters>
  <Lines>9</Lines>
  <Paragraphs>2</Paragraphs>
  <TotalTime>0</TotalTime>
  <ScaleCrop>false</ScaleCrop>
  <LinksUpToDate>false</LinksUpToDate>
  <CharactersWithSpaces>1292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2021-10-15T00:36:00Z</dcterms:created>
  <dc:creator>lenovo</dc:creator>
  <cp:lastModifiedBy>旧</cp:lastModifiedBy>
  <dcterms:modified xsi:type="dcterms:W3CDTF">2021-10-19T12:17:52Z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E2D8F6E3BE064619827829336E2BC57B</vt:lpwstr>
  </property>
</Properties>
</file>