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pStyle w:val="2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文山州2021年党政干部储备人才招引岗位计划</w:t>
      </w:r>
    </w:p>
    <w:bookmarkEnd w:id="0"/>
    <w:tbl>
      <w:tblPr>
        <w:tblStyle w:val="5"/>
        <w:tblW w:w="14419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3244"/>
        <w:gridCol w:w="768"/>
        <w:gridCol w:w="694"/>
        <w:gridCol w:w="731"/>
        <w:gridCol w:w="3619"/>
        <w:gridCol w:w="1763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引进单位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职位简介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引进</w:t>
            </w:r>
            <w:r>
              <w:rPr>
                <w:rFonts w:hint="default" w:ascii="宋体" w:hAnsi="宋体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性别要求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ascii="宋体" w:hAnsi="宋体"/>
                <w:sz w:val="21"/>
                <w:szCs w:val="21"/>
                <w:lang w:val="en-US" w:eastAsia="zh-CN" w:bidi="ar"/>
              </w:rPr>
              <w:t>民族要求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 w:eastAsia="zh-CN" w:bidi="ar"/>
              </w:rPr>
              <w:t>研究方向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19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方正黑体简体" w:cs="方正黑体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18"/>
                <w:szCs w:val="18"/>
                <w:vertAlign w:val="baseline"/>
                <w:lang w:val="en-US" w:eastAsia="zh-CN"/>
              </w:rPr>
              <w:t>一、州级岗位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文山州三七和中医药产业发展中心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三七和中医药产业发展研究</w:t>
            </w: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 w:bidi="ar"/>
              </w:rPr>
              <w:t>与</w:t>
            </w: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Style w:val="8"/>
                <w:rFonts w:hint="default"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现代农业、生物医药相关领域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硕士研究生30周岁以下；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博士研究生35周岁以下。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文山州住房公积金管理中心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住房公积金管理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经济金融相关领域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文山州水利水电勘察设计院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水利水电工程项目规划设计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工程建设相关领域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文山州质量技术监督综合检测中心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质量技术监督检测与管理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工程建设及质量检测相关领域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文山州公共资源交易中心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项目投资评估分析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经济金融及项目运行管理相关领域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文山州改革发展研究中心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 w:bidi="ar"/>
              </w:rPr>
              <w:t>绿色铝产业及</w:t>
            </w: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经济社会发展研究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 w:bidi="ar"/>
              </w:rPr>
              <w:t>绿色铝产业及</w:t>
            </w: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经济社会发展</w:t>
            </w: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 w:bidi="ar"/>
              </w:rPr>
              <w:t>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文山州政府投资项目评审中心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项目投资评估分析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经济金融及项目投资管理相关领域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文山州无线电监测中心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电子信息技术运用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电子信息技术相关领域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文山州城乡建设档案馆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城乡建设规划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城乡建设规划相关领域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文山州公路工程质量监督站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en-US" w:eastAsia="zh-CN" w:bidi="ar"/>
              </w:rPr>
              <w:t>工程技术质量监督管理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工程建设相关领域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8"/>
                <w:rFonts w:hint="default"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中国贸促会文山州分会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8"/>
                <w:rFonts w:hint="default"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跨境电子商务及物流产业发展与研究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ascii="宋体" w:hAnsi="宋体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ascii="宋体" w:hAnsi="宋体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Style w:val="8"/>
                <w:rFonts w:hint="default" w:ascii="宋体" w:hAnsi="宋体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电子商务、物流产业相关领域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4419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方正黑体简体" w:cs="方正黑体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简体" w:cs="方正黑体简体"/>
                <w:sz w:val="18"/>
                <w:szCs w:val="18"/>
                <w:vertAlign w:val="baseline"/>
                <w:lang w:val="en-US" w:eastAsia="zh-CN"/>
              </w:rPr>
              <w:t>二、县（市）级岗位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文山市三七资源开发利用中心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三七中药材开发利用研究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现代农业、生物医药相关领域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硕士研究生30周岁以下；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博士研究生35周岁以下。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砚山县住房和城乡建设局工程质量监督站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城市建设发展规划及工程质量监督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城乡建设规划相关领域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丘北普者黑省级自然保护区管护局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城镇及</w:t>
            </w: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</w:t>
            </w: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景区发展规划</w:t>
            </w: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城乡建设规划及旅游产业相关领域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广南县人民政府政策研究室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生物医药大健康研究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highlight w:val="none"/>
                <w:lang w:val="en-US" w:eastAsia="zh-CN" w:bidi="ar"/>
              </w:rPr>
              <w:t>现代农业、生物医药相关领域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富宁县人民政府政策研究室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绿色铝产业发展研究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绿色铝及工业项目相关领域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西畴县人民政府政策研究室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乡村振兴和旅游发展规划与研究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乡村发展及旅游产业相关领域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马关县人民政府政策研究室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乡村振兴发展研究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乡村建设发展相关领域</w:t>
            </w:r>
          </w:p>
        </w:tc>
        <w:tc>
          <w:tcPr>
            <w:tcW w:w="1763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783" w:h="11850" w:orient="landscape"/>
      <w:pgMar w:top="1020" w:right="2098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2C7F"/>
    <w:rsid w:val="008A7F72"/>
    <w:rsid w:val="019947EB"/>
    <w:rsid w:val="022351C8"/>
    <w:rsid w:val="02613F54"/>
    <w:rsid w:val="02B81878"/>
    <w:rsid w:val="03955B71"/>
    <w:rsid w:val="03A402D4"/>
    <w:rsid w:val="03B71CCB"/>
    <w:rsid w:val="051E56F1"/>
    <w:rsid w:val="059B6453"/>
    <w:rsid w:val="06E34E57"/>
    <w:rsid w:val="0712238C"/>
    <w:rsid w:val="09BD2151"/>
    <w:rsid w:val="0C8163BD"/>
    <w:rsid w:val="0CF93C65"/>
    <w:rsid w:val="0D551E56"/>
    <w:rsid w:val="0E583C0D"/>
    <w:rsid w:val="0E94443C"/>
    <w:rsid w:val="10424A6B"/>
    <w:rsid w:val="10DF6464"/>
    <w:rsid w:val="11AD1457"/>
    <w:rsid w:val="12221308"/>
    <w:rsid w:val="14130C68"/>
    <w:rsid w:val="142855D4"/>
    <w:rsid w:val="15342004"/>
    <w:rsid w:val="182009A4"/>
    <w:rsid w:val="1A3752D0"/>
    <w:rsid w:val="1A9116F0"/>
    <w:rsid w:val="1C89047E"/>
    <w:rsid w:val="1C9D5E0E"/>
    <w:rsid w:val="1CA53FC7"/>
    <w:rsid w:val="1CB6004A"/>
    <w:rsid w:val="1D674BCC"/>
    <w:rsid w:val="1D6F7CE2"/>
    <w:rsid w:val="1E3A4831"/>
    <w:rsid w:val="1E663A3E"/>
    <w:rsid w:val="1FBC6C45"/>
    <w:rsid w:val="1FD72A06"/>
    <w:rsid w:val="202467C0"/>
    <w:rsid w:val="20B97007"/>
    <w:rsid w:val="211B31F5"/>
    <w:rsid w:val="235F43A1"/>
    <w:rsid w:val="23770721"/>
    <w:rsid w:val="23CB7FE1"/>
    <w:rsid w:val="248D4551"/>
    <w:rsid w:val="25B8396C"/>
    <w:rsid w:val="27286915"/>
    <w:rsid w:val="28243A00"/>
    <w:rsid w:val="288430A4"/>
    <w:rsid w:val="29683D41"/>
    <w:rsid w:val="2A976D69"/>
    <w:rsid w:val="2B4B0DAB"/>
    <w:rsid w:val="2C272E77"/>
    <w:rsid w:val="2E8052F5"/>
    <w:rsid w:val="309F1CA1"/>
    <w:rsid w:val="30A32DD0"/>
    <w:rsid w:val="3262441A"/>
    <w:rsid w:val="32D23689"/>
    <w:rsid w:val="32E51DA3"/>
    <w:rsid w:val="34604CC3"/>
    <w:rsid w:val="351E6A96"/>
    <w:rsid w:val="35293175"/>
    <w:rsid w:val="35871D8C"/>
    <w:rsid w:val="39E9524F"/>
    <w:rsid w:val="3A0B2C7F"/>
    <w:rsid w:val="3A4E5EBA"/>
    <w:rsid w:val="3C123294"/>
    <w:rsid w:val="3C14311A"/>
    <w:rsid w:val="3D02702D"/>
    <w:rsid w:val="3D0B7DEA"/>
    <w:rsid w:val="3E110E58"/>
    <w:rsid w:val="3EA37478"/>
    <w:rsid w:val="3EBC0B0A"/>
    <w:rsid w:val="3FE560D4"/>
    <w:rsid w:val="404970A0"/>
    <w:rsid w:val="40FA5256"/>
    <w:rsid w:val="424D40C5"/>
    <w:rsid w:val="427C76B0"/>
    <w:rsid w:val="42FE1914"/>
    <w:rsid w:val="44A50DF3"/>
    <w:rsid w:val="44F30E0D"/>
    <w:rsid w:val="4512429B"/>
    <w:rsid w:val="49604680"/>
    <w:rsid w:val="4A0875D7"/>
    <w:rsid w:val="4A700692"/>
    <w:rsid w:val="4B552DB0"/>
    <w:rsid w:val="4C1B6C7E"/>
    <w:rsid w:val="4C2E7B89"/>
    <w:rsid w:val="4D8012B4"/>
    <w:rsid w:val="4D8D0708"/>
    <w:rsid w:val="4DC0696C"/>
    <w:rsid w:val="4F7B54AA"/>
    <w:rsid w:val="4F8A38DC"/>
    <w:rsid w:val="4FB01C22"/>
    <w:rsid w:val="4FE363FD"/>
    <w:rsid w:val="504A61C8"/>
    <w:rsid w:val="509279B7"/>
    <w:rsid w:val="50B461AC"/>
    <w:rsid w:val="50BA14E3"/>
    <w:rsid w:val="514E7EAD"/>
    <w:rsid w:val="51BF6D9C"/>
    <w:rsid w:val="51DC2543"/>
    <w:rsid w:val="51DD24A6"/>
    <w:rsid w:val="5206041D"/>
    <w:rsid w:val="523B65E0"/>
    <w:rsid w:val="53F42553"/>
    <w:rsid w:val="53F72E68"/>
    <w:rsid w:val="54247073"/>
    <w:rsid w:val="54334E64"/>
    <w:rsid w:val="545E5C98"/>
    <w:rsid w:val="56667A26"/>
    <w:rsid w:val="56DD3EBB"/>
    <w:rsid w:val="595E7945"/>
    <w:rsid w:val="59EE2401"/>
    <w:rsid w:val="5A091A50"/>
    <w:rsid w:val="5A423D64"/>
    <w:rsid w:val="5C4B2485"/>
    <w:rsid w:val="5D144468"/>
    <w:rsid w:val="5D352937"/>
    <w:rsid w:val="5D904BD6"/>
    <w:rsid w:val="5F0F2E96"/>
    <w:rsid w:val="5FC52C2A"/>
    <w:rsid w:val="5FDA4F86"/>
    <w:rsid w:val="61A811B2"/>
    <w:rsid w:val="61EE18DF"/>
    <w:rsid w:val="621E0F0C"/>
    <w:rsid w:val="62975DEB"/>
    <w:rsid w:val="64315519"/>
    <w:rsid w:val="64F450B5"/>
    <w:rsid w:val="65254E77"/>
    <w:rsid w:val="663F6869"/>
    <w:rsid w:val="672B0246"/>
    <w:rsid w:val="676E7026"/>
    <w:rsid w:val="680146A9"/>
    <w:rsid w:val="693F5232"/>
    <w:rsid w:val="69A223B1"/>
    <w:rsid w:val="6A5B679C"/>
    <w:rsid w:val="6ABF36C9"/>
    <w:rsid w:val="6B2F5BDA"/>
    <w:rsid w:val="6BFD492A"/>
    <w:rsid w:val="6EDD1FC7"/>
    <w:rsid w:val="707A55E4"/>
    <w:rsid w:val="70AC79D3"/>
    <w:rsid w:val="71355088"/>
    <w:rsid w:val="722A01B7"/>
    <w:rsid w:val="725E0CC4"/>
    <w:rsid w:val="74BA6D74"/>
    <w:rsid w:val="74CE7EEC"/>
    <w:rsid w:val="761B53B4"/>
    <w:rsid w:val="78916214"/>
    <w:rsid w:val="79AD5493"/>
    <w:rsid w:val="7D394D48"/>
    <w:rsid w:val="7DA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ascii="方正黑体简体" w:hAnsi="方正黑体简体" w:eastAsia="方正黑体简体" w:cs="方正黑体简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方正仿宋简体" w:hAnsi="方正仿宋简体" w:eastAsia="方正仿宋简体" w:cs="方正仿宋简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2021-05-31T00:42:00Z</dcterms:created>
  <dc:creator>沉默</dc:creator>
  <cp:lastModifiedBy>沉默</cp:lastModifiedBy>
  <dcterms:modified xsi:type="dcterms:W3CDTF">2021-05-31T00:44:02Z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445289867_btnclosed</vt:lpwstr>
  </property>
</Properties>
</file>