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阳泉市202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40"/>
          <w:szCs w:val="40"/>
        </w:rPr>
        <w:t>年引进急需紧缺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岗位人才报名表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40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- 2 -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- 2 -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51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51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8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8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645AEC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1</TotalTime>
  <ScaleCrop>false</ScaleCrop>
  <LinksUpToDate>false</LinksUpToDate>
  <CharactersWithSpaces>4631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焱焱</cp:lastModifiedBy>
  <cp:lastPrinted>2020-06-10T13:08:00Z</cp:lastPrinted>
  <dcterms:modified xsi:type="dcterms:W3CDTF">2021-03-02T09:16:00Z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