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CCCCC" w:sz="4" w:space="9"/>
          <w:right w:val="none" w:color="auto" w:sz="0" w:space="0"/>
        </w:pBdr>
        <w:spacing w:before="120" w:beforeAutospacing="0" w:line="360" w:lineRule="atLeast"/>
        <w:jc w:val="center"/>
        <w:rPr>
          <w:b/>
          <w:sz w:val="18"/>
          <w:szCs w:val="18"/>
        </w:rPr>
      </w:pPr>
      <w:r>
        <w:rPr>
          <w:rFonts w:ascii="宋体" w:hAnsi="宋体" w:eastAsia="宋体" w:cs="宋体"/>
          <w:b/>
          <w:kern w:val="0"/>
          <w:sz w:val="18"/>
          <w:szCs w:val="18"/>
          <w:bdr w:val="none" w:color="auto" w:sz="0" w:space="0"/>
          <w:lang w:val="en-US" w:eastAsia="zh-CN" w:bidi="ar"/>
        </w:rPr>
        <w:t>华融湘江银行2021届校园招聘启事</w:t>
      </w:r>
    </w:p>
    <w:p>
      <w:pPr>
        <w:keepNext w:val="0"/>
        <w:keepLines w:val="0"/>
        <w:widowControl/>
        <w:suppressLineNumbers w:val="0"/>
        <w:pBdr>
          <w:top w:val="single" w:color="DCDCDC" w:sz="4" w:space="13"/>
          <w:left w:val="single" w:color="DCDCDC" w:sz="4" w:space="6"/>
          <w:bottom w:val="single" w:color="DCDCDC" w:sz="4" w:space="9"/>
          <w:right w:val="single" w:color="DCDCDC" w:sz="4" w:space="18"/>
        </w:pBdr>
        <w:shd w:val="clear" w:fill="F6F6F6"/>
        <w:spacing w:before="60" w:beforeAutospacing="0" w:after="180" w:afterAutospacing="0" w:line="360" w:lineRule="atLeast"/>
        <w:ind w:left="0" w:right="0"/>
        <w:jc w:val="center"/>
        <w:rPr>
          <w:color w:val="6E6E6E"/>
        </w:rPr>
      </w:pPr>
      <w:r>
        <w:rPr>
          <w:rFonts w:ascii="宋体" w:hAnsi="宋体" w:eastAsia="宋体" w:cs="宋体"/>
          <w:color w:val="6E6E6E"/>
          <w:kern w:val="0"/>
          <w:sz w:val="24"/>
          <w:szCs w:val="24"/>
          <w:shd w:val="clear" w:fill="F6F6F6"/>
          <w:lang w:val="en-US" w:eastAsia="zh-CN" w:bidi="ar"/>
        </w:rPr>
        <w:t>发布日期：2020-11-17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sz w:val="15"/>
          <w:szCs w:val="15"/>
        </w:rPr>
        <w:t>华融湘江银行股份有限公司（简称“华融湘江银行”）成立于2010年10月，是湖南省委、省政府引入中国华融资产管理股份有限公司，在重组湖南原株洲、湘潭、衡阳、岳阳市商业银行和邵阳市城市信用社的基础上，经原中国银行业监督管理委员会（现为中国银行保险监督管理委员会）批准，依法合并新设的一家注册地位于长沙市的国有股份制商业银行，注册资本人民币77.5亿元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sz w:val="15"/>
          <w:szCs w:val="15"/>
        </w:rPr>
        <w:t>成立以来，华融湘江银行紧紧围绕湖南经济社会发展战略，积极践行“立足湖南、依托湖南、支持湖南、服务湖南”的发展宗旨，坚持理念引导、规划先行、创新引领、风险为本、合规经营、从严治行，实现了稳健快速发展。截至2020年9月30日，华融湘江银行资产总额为人民币3898.16亿元，发放贷款与垫款总额为人民币2120.76亿元，吸收存款总额为2548亿元。在湖南省14个市州设立分行，发起设立了湘乡市村镇银行，形成了覆盖全省的业务网络。人民银行综合评价为A类银行，主体信用评级AAA。先后获得中国企业五星品牌、全国金融系统企业文化建设先进单位、湖南100强企业、湖南服务业50强企业、支持湖南地方经济发展一等奖、湖南小微企业金融服务先进单位、湖南金融消费权益保护评估A类机构、湖南省综治工作“先进单位”、省级“平安单位”等荣誉200余项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sz w:val="15"/>
          <w:szCs w:val="15"/>
        </w:rPr>
        <w:t>华融湘江银行有良好的工作氛围、优厚的薪酬待遇、广阔的发展平台，现诚邀充满激情的你，绽放青春，不负韶华，与我们共创美好未来！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b/>
          <w:sz w:val="15"/>
          <w:szCs w:val="15"/>
        </w:rPr>
        <w:t>一、应聘基本条件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sz w:val="15"/>
          <w:szCs w:val="15"/>
        </w:rPr>
        <w:t>（一）具备优良的职业品质、良好的职业道德和团队意识，遵纪守法，诚实守信，无不良记录。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sz w:val="15"/>
          <w:szCs w:val="15"/>
        </w:rPr>
        <w:t>（二）具有国家教育主管部门认定的全日制本科（含）以上学历（不含专升本）。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sz w:val="15"/>
          <w:szCs w:val="15"/>
        </w:rPr>
        <w:t>（三）符合监管部门发布的银行从业人员资格要求，具备与岗位要求相适应的基本素质和专业能力。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sz w:val="15"/>
          <w:szCs w:val="15"/>
        </w:rPr>
        <w:t>（四）身体健康，有较强的敬业精神。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sz w:val="15"/>
          <w:szCs w:val="15"/>
        </w:rPr>
        <w:t>（五）符合本行亲属回避有关要求。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60" w:afterAutospacing="0" w:line="288" w:lineRule="atLeast"/>
        <w:ind w:left="0" w:firstLine="420"/>
        <w:jc w:val="both"/>
      </w:pPr>
      <w:r>
        <w:rPr>
          <w:b/>
          <w:sz w:val="15"/>
          <w:szCs w:val="15"/>
        </w:rPr>
        <w:t>二、招聘岗位</w:t>
      </w:r>
    </w:p>
    <w:tbl>
      <w:tblPr>
        <w:tblW w:w="0" w:type="auto"/>
        <w:tblInd w:w="-21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68"/>
        <w:gridCol w:w="2340"/>
        <w:gridCol w:w="2856"/>
        <w:gridCol w:w="86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rPr>
                <w:b/>
              </w:rPr>
              <w:t>序号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rPr>
                <w:b/>
              </w:rPr>
              <w:t>招聘类型</w:t>
            </w:r>
          </w:p>
        </w:tc>
        <w:tc>
          <w:tcPr>
            <w:tcW w:w="2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rPr>
                <w:b/>
              </w:rPr>
              <w:t>招聘岗位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rPr>
                <w:b/>
              </w:rPr>
              <w:t>招聘人数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1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管理储备人才</w:t>
            </w:r>
          </w:p>
        </w:tc>
        <w:tc>
          <w:tcPr>
            <w:tcW w:w="2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总行管理培训生（合同制）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2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管理储备人才/科技专家人才</w:t>
            </w:r>
          </w:p>
        </w:tc>
        <w:tc>
          <w:tcPr>
            <w:tcW w:w="2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总行IT定向生（合同制）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3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管理储备人才/数据专家人才</w:t>
            </w:r>
          </w:p>
        </w:tc>
        <w:tc>
          <w:tcPr>
            <w:tcW w:w="2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总行数据分析定向生（合同制）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4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业务骨干储备人才</w:t>
            </w:r>
          </w:p>
        </w:tc>
        <w:tc>
          <w:tcPr>
            <w:tcW w:w="2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分行校招生（合同制）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若干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5</w:t>
            </w:r>
          </w:p>
        </w:tc>
        <w:tc>
          <w:tcPr>
            <w:tcW w:w="23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运营服务人才</w:t>
            </w:r>
          </w:p>
        </w:tc>
        <w:tc>
          <w:tcPr>
            <w:tcW w:w="28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分行综合柜员助理（劳务派遣制）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60" w:afterAutospacing="0" w:line="288" w:lineRule="atLeast"/>
              <w:ind w:left="0" w:firstLine="420"/>
              <w:jc w:val="both"/>
            </w:pPr>
            <w:r>
              <w:t>若干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E5F39"/>
    <w:rsid w:val="048A266A"/>
    <w:rsid w:val="14BE5F39"/>
    <w:rsid w:val="417E001C"/>
    <w:rsid w:val="4CD96D18"/>
    <w:rsid w:val="66FB35DA"/>
    <w:rsid w:val="7FBF7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2B2B2B"/>
      <w:u w:val="none"/>
    </w:rPr>
  </w:style>
  <w:style w:type="character" w:styleId="8">
    <w:name w:val="Emphasis"/>
    <w:basedOn w:val="5"/>
    <w:qFormat/>
    <w:uiPriority w:val="0"/>
    <w:rPr>
      <w:b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qFormat/>
    <w:uiPriority w:val="0"/>
    <w:rPr>
      <w:color w:val="2B2B2B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ascii="Courier New" w:hAnsi="Courier New"/>
      <w:sz w:val="20"/>
    </w:rPr>
  </w:style>
  <w:style w:type="character" w:styleId="15">
    <w:name w:val="HTML Sample"/>
    <w:basedOn w:val="5"/>
    <w:uiPriority w:val="0"/>
    <w:rPr>
      <w:rFonts w:ascii="Courier New" w:hAnsi="Courier New"/>
    </w:rPr>
  </w:style>
  <w:style w:type="character" w:customStyle="1" w:styleId="16">
    <w:name w:val="bsharetext"/>
    <w:basedOn w:val="5"/>
    <w:qFormat/>
    <w:uiPriority w:val="0"/>
  </w:style>
  <w:style w:type="character" w:customStyle="1" w:styleId="17">
    <w:name w:val="style2"/>
    <w:basedOn w:val="5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2020-11-16T09:12:00Z</dcterms:created>
  <dc:creator>宋国军</dc:creator>
  <cp:lastModifiedBy>卜荣荣</cp:lastModifiedBy>
  <dcterms:modified xsi:type="dcterms:W3CDTF">2020-11-17T04:13:23Z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